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296BC6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673E7E">
        <w:rPr>
          <w:bCs/>
          <w:noProof w:val="0"/>
          <w:sz w:val="24"/>
          <w:szCs w:val="24"/>
        </w:rPr>
        <w:t>7bis</w:t>
      </w:r>
      <w:r w:rsidRPr="00B266B0">
        <w:rPr>
          <w:bCs/>
          <w:noProof w:val="0"/>
          <w:sz w:val="24"/>
          <w:szCs w:val="24"/>
        </w:rPr>
        <w:tab/>
      </w:r>
      <w:r w:rsidR="00863A79" w:rsidRPr="00863A79">
        <w:rPr>
          <w:bCs/>
          <w:noProof w:val="0"/>
          <w:sz w:val="24"/>
          <w:szCs w:val="24"/>
        </w:rPr>
        <w:t>R2-2409018</w:t>
      </w:r>
    </w:p>
    <w:p w14:paraId="3723E1D3" w14:textId="3A7BCB5C" w:rsidR="005432D9" w:rsidRPr="00465587" w:rsidRDefault="00673E7E" w:rsidP="005432D9">
      <w:pPr>
        <w:pStyle w:val="Header"/>
        <w:tabs>
          <w:tab w:val="right" w:pos="9639"/>
        </w:tabs>
        <w:rPr>
          <w:rFonts w:eastAsia="宋体"/>
          <w:bCs/>
          <w:sz w:val="24"/>
          <w:szCs w:val="24"/>
          <w:lang w:eastAsia="zh-CN"/>
        </w:rPr>
      </w:pPr>
      <w:r>
        <w:rPr>
          <w:rFonts w:eastAsia="宋体"/>
          <w:bCs/>
          <w:sz w:val="24"/>
          <w:szCs w:val="24"/>
          <w:lang w:eastAsia="zh-CN"/>
        </w:rPr>
        <w:t>Hefei</w:t>
      </w:r>
      <w:r w:rsidR="000D3DFC" w:rsidRPr="000D3DFC">
        <w:rPr>
          <w:rFonts w:eastAsia="宋体"/>
          <w:bCs/>
          <w:sz w:val="24"/>
          <w:szCs w:val="24"/>
          <w:lang w:eastAsia="zh-CN"/>
        </w:rPr>
        <w:t xml:space="preserve">, </w:t>
      </w:r>
      <w:r>
        <w:rPr>
          <w:rFonts w:eastAsia="宋体"/>
          <w:bCs/>
          <w:sz w:val="24"/>
          <w:szCs w:val="24"/>
          <w:lang w:eastAsia="zh-CN"/>
        </w:rPr>
        <w:t>China</w:t>
      </w:r>
      <w:r w:rsidR="000D3DFC" w:rsidRPr="000D3DFC">
        <w:rPr>
          <w:rFonts w:eastAsia="宋体"/>
          <w:bCs/>
          <w:sz w:val="24"/>
          <w:szCs w:val="24"/>
          <w:lang w:eastAsia="zh-CN"/>
        </w:rPr>
        <w:t>, 1</w:t>
      </w:r>
      <w:r>
        <w:rPr>
          <w:rFonts w:eastAsia="宋体"/>
          <w:bCs/>
          <w:sz w:val="24"/>
          <w:szCs w:val="24"/>
          <w:lang w:eastAsia="zh-CN"/>
        </w:rPr>
        <w:t>4</w:t>
      </w:r>
      <w:r w:rsidR="000D3DFC" w:rsidRPr="000D3DFC">
        <w:rPr>
          <w:rFonts w:eastAsia="宋体"/>
          <w:bCs/>
          <w:sz w:val="24"/>
          <w:szCs w:val="24"/>
          <w:lang w:eastAsia="zh-CN"/>
        </w:rPr>
        <w:t xml:space="preserve"> – </w:t>
      </w:r>
      <w:r>
        <w:rPr>
          <w:rFonts w:eastAsia="宋体"/>
          <w:bCs/>
          <w:sz w:val="24"/>
          <w:szCs w:val="24"/>
          <w:lang w:eastAsia="zh-CN"/>
        </w:rPr>
        <w:t>18</w:t>
      </w:r>
      <w:r w:rsidR="000D3DFC" w:rsidRPr="000D3DFC">
        <w:rPr>
          <w:rFonts w:eastAsia="宋体"/>
          <w:bCs/>
          <w:sz w:val="24"/>
          <w:szCs w:val="24"/>
          <w:lang w:eastAsia="zh-CN"/>
        </w:rPr>
        <w:t xml:space="preserve"> </w:t>
      </w:r>
      <w:r>
        <w:rPr>
          <w:rFonts w:eastAsia="宋体"/>
          <w:bCs/>
          <w:sz w:val="24"/>
          <w:szCs w:val="24"/>
          <w:lang w:eastAsia="zh-CN"/>
        </w:rPr>
        <w:t>October</w:t>
      </w:r>
      <w:r w:rsidR="000D3DFC" w:rsidRPr="000D3DFC">
        <w:rPr>
          <w:rFonts w:eastAsia="宋体"/>
          <w:bCs/>
          <w:sz w:val="24"/>
          <w:szCs w:val="24"/>
          <w:lang w:eastAsia="zh-CN"/>
        </w:rPr>
        <w:t xml:space="preserve"> 2024</w:t>
      </w:r>
      <w:r w:rsidR="005432D9">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ED881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3E7E">
        <w:rPr>
          <w:rFonts w:cs="Arial"/>
          <w:b/>
          <w:bCs/>
          <w:sz w:val="24"/>
        </w:rPr>
        <w:t>8</w:t>
      </w:r>
      <w:r>
        <w:rPr>
          <w:rFonts w:cs="Arial"/>
          <w:b/>
          <w:bCs/>
          <w:sz w:val="24"/>
          <w:lang w:eastAsia="ja-JP"/>
        </w:rPr>
        <w:t>.</w:t>
      </w:r>
      <w:r w:rsidR="00673E7E">
        <w:rPr>
          <w:rFonts w:cs="Arial"/>
          <w:b/>
          <w:bCs/>
          <w:sz w:val="24"/>
          <w:lang w:eastAsia="ja-JP"/>
        </w:rPr>
        <w:t>7</w:t>
      </w:r>
      <w:r>
        <w:rPr>
          <w:rFonts w:cs="Arial"/>
          <w:b/>
          <w:bCs/>
          <w:sz w:val="24"/>
          <w:lang w:eastAsia="ja-JP"/>
        </w:rPr>
        <w:t>.</w:t>
      </w:r>
      <w:r w:rsidR="00673E7E">
        <w:rPr>
          <w:rFonts w:cs="Arial"/>
          <w:b/>
          <w:bCs/>
          <w:sz w:val="24"/>
          <w:lang w:eastAsia="ja-JP"/>
        </w:rPr>
        <w:t>4</w:t>
      </w:r>
      <w:r w:rsidR="00F345CC">
        <w:rPr>
          <w:rFonts w:cs="Arial"/>
          <w:b/>
          <w:bCs/>
          <w:sz w:val="24"/>
          <w:lang w:eastAsia="ja-JP"/>
        </w:rPr>
        <w:t>.2</w:t>
      </w:r>
    </w:p>
    <w:p w14:paraId="73188B46" w14:textId="10C9D1A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73E7E">
        <w:rPr>
          <w:rFonts w:ascii="Arial" w:hAnsi="Arial" w:cs="Arial"/>
          <w:b/>
          <w:bCs/>
          <w:sz w:val="24"/>
        </w:rPr>
        <w:t>, Nokia Shanghai Bell</w:t>
      </w:r>
    </w:p>
    <w:p w14:paraId="553D264F" w14:textId="2EB141B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4C87">
        <w:rPr>
          <w:rFonts w:ascii="Arial" w:hAnsi="Arial" w:cs="Arial"/>
          <w:b/>
          <w:bCs/>
          <w:sz w:val="24"/>
        </w:rPr>
        <w:t xml:space="preserve">DSR </w:t>
      </w:r>
      <w:r w:rsidR="00673E7E">
        <w:rPr>
          <w:rFonts w:ascii="Arial" w:hAnsi="Arial" w:cs="Arial"/>
          <w:b/>
          <w:bCs/>
          <w:sz w:val="24"/>
        </w:rPr>
        <w:t>Enhancements</w:t>
      </w:r>
    </w:p>
    <w:p w14:paraId="25F387E8" w14:textId="155E51F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7E" w:rsidRPr="006844CF">
        <w:rPr>
          <w:rFonts w:ascii="Arial" w:hAnsi="Arial" w:cs="Arial"/>
          <w:b/>
          <w:bCs/>
          <w:sz w:val="24"/>
          <w:lang w:val="en-US"/>
        </w:rPr>
        <w:t>NR_XR_Ph3-Core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A2ED9D" w14:textId="428EA0B1" w:rsidR="00D73A95" w:rsidRPr="006844CF" w:rsidRDefault="00D73A95" w:rsidP="00D73A95">
      <w:pPr>
        <w:rPr>
          <w:lang w:val="en-US"/>
        </w:rPr>
      </w:pPr>
      <w:r w:rsidRPr="632CA130">
        <w:rPr>
          <w:lang w:val="en-US"/>
        </w:rPr>
        <w:t>The following agreements were made in RAN2 #127</w:t>
      </w:r>
      <w:r w:rsidR="003273B6">
        <w:rPr>
          <w:lang w:val="en-US"/>
        </w:rPr>
        <w:t xml:space="preserve"> on DSR enhancements</w:t>
      </w:r>
      <w:r w:rsidRPr="632CA130">
        <w:rPr>
          <w:lang w:val="en-US"/>
        </w:rPr>
        <w:t xml:space="preserve">: </w:t>
      </w:r>
    </w:p>
    <w:tbl>
      <w:tblPr>
        <w:tblStyle w:val="TableGrid"/>
        <w:tblW w:w="0" w:type="auto"/>
        <w:tblLook w:val="04A0" w:firstRow="1" w:lastRow="0" w:firstColumn="1" w:lastColumn="0" w:noHBand="0" w:noVBand="1"/>
      </w:tblPr>
      <w:tblGrid>
        <w:gridCol w:w="9631"/>
      </w:tblGrid>
      <w:tr w:rsidR="00D73A95" w:rsidRPr="006844CF" w14:paraId="7BBFF136" w14:textId="77777777">
        <w:tc>
          <w:tcPr>
            <w:tcW w:w="9631" w:type="dxa"/>
          </w:tcPr>
          <w:p w14:paraId="1369A283" w14:textId="77777777" w:rsidR="00D73A95" w:rsidRPr="006844CF" w:rsidRDefault="00D73A95">
            <w:pPr>
              <w:pStyle w:val="paragraph"/>
              <w:spacing w:before="0" w:beforeAutospacing="0" w:after="0" w:afterAutospacing="0"/>
              <w:jc w:val="both"/>
              <w:textAlignment w:val="baseline"/>
              <w:rPr>
                <w:rStyle w:val="normaltextrun"/>
                <w:b/>
                <w:bCs/>
                <w:sz w:val="20"/>
                <w:szCs w:val="20"/>
              </w:rPr>
            </w:pPr>
            <w:r w:rsidRPr="006844CF">
              <w:rPr>
                <w:rStyle w:val="normaltextrun"/>
                <w:b/>
                <w:bCs/>
                <w:sz w:val="20"/>
                <w:szCs w:val="20"/>
              </w:rPr>
              <w:t>DSR enhancements – multiple thresholds and grouping of data</w:t>
            </w:r>
          </w:p>
          <w:p w14:paraId="568C2F37" w14:textId="77777777" w:rsidR="00D73A95" w:rsidRPr="00D07AAB" w:rsidRDefault="00D73A95">
            <w:pPr>
              <w:pStyle w:val="paragraph"/>
              <w:numPr>
                <w:ilvl w:val="0"/>
                <w:numId w:val="23"/>
              </w:numPr>
              <w:spacing w:before="0" w:beforeAutospacing="0" w:after="0" w:afterAutospacing="0"/>
              <w:jc w:val="both"/>
              <w:textAlignment w:val="baseline"/>
              <w:rPr>
                <w:b/>
                <w:bCs/>
                <w:sz w:val="20"/>
                <w:szCs w:val="20"/>
              </w:rPr>
            </w:pPr>
            <w:r w:rsidRPr="00D07AAB">
              <w:rPr>
                <w:b/>
                <w:bCs/>
                <w:sz w:val="20"/>
                <w:szCs w:val="20"/>
              </w:rPr>
              <w:t xml:space="preserve">Network should be able to configure multiple remaining time thresholds for reporting for each LCG to report multiple pairs of remaining time and buffer sizes per LCG. </w:t>
            </w:r>
          </w:p>
          <w:p w14:paraId="5AFC3096" w14:textId="77777777" w:rsidR="00D73A95" w:rsidRPr="00D07AAB" w:rsidRDefault="00D73A95">
            <w:pPr>
              <w:pStyle w:val="paragraph"/>
              <w:numPr>
                <w:ilvl w:val="0"/>
                <w:numId w:val="23"/>
              </w:numPr>
              <w:spacing w:before="0" w:beforeAutospacing="0" w:after="0" w:afterAutospacing="0"/>
              <w:ind w:left="714" w:hanging="357"/>
              <w:jc w:val="both"/>
              <w:textAlignment w:val="baseline"/>
              <w:rPr>
                <w:b/>
                <w:bCs/>
                <w:sz w:val="20"/>
                <w:szCs w:val="20"/>
              </w:rPr>
            </w:pPr>
            <w:r w:rsidRPr="00D07AAB">
              <w:rPr>
                <w:b/>
                <w:bCs/>
                <w:sz w:val="20"/>
                <w:szCs w:val="20"/>
              </w:rPr>
              <w:t>For enhanced DSR:</w:t>
            </w:r>
          </w:p>
          <w:p w14:paraId="17E0E201" w14:textId="77777777" w:rsidR="00D73A95" w:rsidRPr="00D07AAB" w:rsidRDefault="00D73A95" w:rsidP="00C17FE0">
            <w:pPr>
              <w:pStyle w:val="paragraph"/>
              <w:numPr>
                <w:ilvl w:val="1"/>
                <w:numId w:val="24"/>
              </w:numPr>
              <w:spacing w:before="0" w:beforeAutospacing="0" w:after="0" w:afterAutospacing="0"/>
              <w:ind w:left="1434" w:hanging="357"/>
              <w:jc w:val="both"/>
              <w:textAlignment w:val="baseline"/>
              <w:rPr>
                <w:b/>
                <w:bCs/>
                <w:sz w:val="20"/>
                <w:szCs w:val="20"/>
              </w:rPr>
            </w:pPr>
            <w:r w:rsidRPr="00D07AAB">
              <w:rPr>
                <w:b/>
                <w:bCs/>
                <w:sz w:val="20"/>
                <w:szCs w:val="20"/>
              </w:rPr>
              <w:t xml:space="preserve">There will be a single triggering threshold, as in Rel-18. FFS whether there are any constraints on how the NW configures DSR triggering and reporting thresholds </w:t>
            </w:r>
          </w:p>
          <w:p w14:paraId="294B0F57" w14:textId="77777777" w:rsidR="00D73A95" w:rsidRPr="00D07AAB" w:rsidRDefault="00D73A95">
            <w:pPr>
              <w:pStyle w:val="paragraph"/>
              <w:numPr>
                <w:ilvl w:val="1"/>
                <w:numId w:val="24"/>
              </w:numPr>
              <w:spacing w:after="0"/>
              <w:jc w:val="both"/>
              <w:textAlignment w:val="baseline"/>
              <w:rPr>
                <w:b/>
                <w:bCs/>
                <w:sz w:val="20"/>
                <w:szCs w:val="20"/>
              </w:rPr>
            </w:pPr>
            <w:r w:rsidRPr="00D07AAB">
              <w:rPr>
                <w:b/>
                <w:bCs/>
                <w:sz w:val="20"/>
                <w:szCs w:val="20"/>
              </w:rPr>
              <w:t xml:space="preserve">FFS whether there is any impact on delay critical data definition due to multiple reporting thresholds in the DSR </w:t>
            </w:r>
          </w:p>
          <w:p w14:paraId="3F984151" w14:textId="77777777" w:rsidR="00D73A95" w:rsidRPr="00D07AAB" w:rsidRDefault="00D73A95">
            <w:pPr>
              <w:pStyle w:val="paragraph"/>
              <w:numPr>
                <w:ilvl w:val="1"/>
                <w:numId w:val="24"/>
              </w:numPr>
              <w:spacing w:before="0" w:beforeAutospacing="0" w:after="0" w:afterAutospacing="0"/>
              <w:jc w:val="both"/>
              <w:textAlignment w:val="baseline"/>
              <w:rPr>
                <w:lang w:eastAsia="en-GB"/>
              </w:rPr>
            </w:pPr>
            <w:r w:rsidRPr="00D07AAB">
              <w:rPr>
                <w:b/>
                <w:bCs/>
                <w:sz w:val="20"/>
                <w:szCs w:val="20"/>
              </w:rPr>
              <w:t xml:space="preserve">FFS whether to include non-delay critical data ahead of delay critical data in the buffer size calculation for DSR </w:t>
            </w:r>
            <w:r w:rsidRPr="006844CF">
              <w:rPr>
                <w:b/>
                <w:bCs/>
                <w:sz w:val="20"/>
                <w:szCs w:val="20"/>
              </w:rPr>
              <w:t>FFS whether PDU set importance needs to be included</w:t>
            </w:r>
          </w:p>
          <w:p w14:paraId="4F0E898E" w14:textId="77777777" w:rsidR="00D73A95" w:rsidRPr="006844CF" w:rsidRDefault="00D73A95">
            <w:pPr>
              <w:pStyle w:val="paragraph"/>
              <w:numPr>
                <w:ilvl w:val="0"/>
                <w:numId w:val="23"/>
              </w:numPr>
              <w:spacing w:before="0" w:beforeAutospacing="0" w:after="0" w:afterAutospacing="0"/>
              <w:jc w:val="both"/>
              <w:textAlignment w:val="baseline"/>
              <w:rPr>
                <w:lang w:eastAsia="en-GB"/>
              </w:rPr>
            </w:pPr>
            <w:r w:rsidRPr="00D07AAB">
              <w:rPr>
                <w:b/>
                <w:bCs/>
                <w:sz w:val="20"/>
                <w:szCs w:val="20"/>
              </w:rPr>
              <w:t>FFS whether/how additional priority impacts intra-UE prioritization (can be discussed in stage-3)</w:t>
            </w:r>
          </w:p>
        </w:tc>
      </w:tr>
    </w:tbl>
    <w:p w14:paraId="4854EE57" w14:textId="00A96E06" w:rsidR="009339CB" w:rsidRDefault="00673E7E" w:rsidP="008035BE">
      <w:pPr>
        <w:spacing w:before="180"/>
      </w:pPr>
      <w:r w:rsidRPr="006844CF">
        <w:rPr>
          <w:lang w:val="en-US"/>
        </w:rPr>
        <w:t>In this contribution we discuss some of the FFSs related to DSR enhancements.</w:t>
      </w:r>
    </w:p>
    <w:p w14:paraId="7D484B6E" w14:textId="2003D86E" w:rsidR="009339CB" w:rsidRDefault="009339CB" w:rsidP="009339CB">
      <w:pPr>
        <w:pStyle w:val="Heading1"/>
      </w:pPr>
      <w:r w:rsidRPr="006E13D1">
        <w:t>2</w:t>
      </w:r>
      <w:r w:rsidRPr="006E13D1">
        <w:tab/>
      </w:r>
      <w:r w:rsidR="00673E7E">
        <w:t>Discussion</w:t>
      </w:r>
    </w:p>
    <w:p w14:paraId="124DE70A" w14:textId="75C22EFE" w:rsidR="00673E7E" w:rsidRPr="006844CF" w:rsidRDefault="00673E7E" w:rsidP="00C17FE0">
      <w:pPr>
        <w:spacing w:after="120"/>
        <w:jc w:val="both"/>
        <w:rPr>
          <w:lang w:val="en-US"/>
        </w:rPr>
      </w:pPr>
      <w:r w:rsidRPr="00271527">
        <w:t>In WG meeting #127, RAN2 agreed that the network should be able to configure multiple remaining time thresholds for reporting for each LCG to report multiple pairs of remaining time and buffer sizes per LCG. The following FFSs were identified</w:t>
      </w:r>
      <w:r w:rsidRPr="006844CF">
        <w:rPr>
          <w:lang w:val="en-US"/>
        </w:rPr>
        <w:t>:</w:t>
      </w:r>
      <w:r w:rsidRPr="002A039E">
        <w:t xml:space="preserve"> </w:t>
      </w:r>
    </w:p>
    <w:p w14:paraId="51A530D7" w14:textId="77777777" w:rsidR="00673E7E" w:rsidRDefault="00673E7E" w:rsidP="008035BE">
      <w:pPr>
        <w:numPr>
          <w:ilvl w:val="0"/>
          <w:numId w:val="25"/>
        </w:numPr>
        <w:spacing w:after="120"/>
        <w:ind w:left="993" w:hanging="333"/>
        <w:rPr>
          <w:lang w:val="en-US"/>
        </w:rPr>
      </w:pPr>
      <w:r w:rsidRPr="00CD2420">
        <w:rPr>
          <w:lang w:val="en-US"/>
        </w:rPr>
        <w:t>whether there is any impact on delay critical data definition due to multiple reporting thresholds</w:t>
      </w:r>
    </w:p>
    <w:p w14:paraId="0B5B4587" w14:textId="78A51D2C" w:rsidR="00673E7E" w:rsidRPr="008035BE" w:rsidRDefault="00673E7E" w:rsidP="00C17FE0">
      <w:pPr>
        <w:numPr>
          <w:ilvl w:val="0"/>
          <w:numId w:val="25"/>
        </w:numPr>
        <w:spacing w:after="120"/>
        <w:ind w:left="993" w:hanging="333"/>
        <w:rPr>
          <w:lang w:val="en-US"/>
        </w:rPr>
      </w:pPr>
      <w:r w:rsidRPr="00CD2420">
        <w:rPr>
          <w:lang w:val="en-US"/>
        </w:rPr>
        <w:t>whether to include non-delay critical data ahead of delay critical data in the buffer size calculation</w:t>
      </w:r>
    </w:p>
    <w:p w14:paraId="5A8FAA59" w14:textId="77777777" w:rsidR="008035BE" w:rsidRDefault="008035BE" w:rsidP="00C17FE0">
      <w:pPr>
        <w:jc w:val="both"/>
      </w:pPr>
      <w:r>
        <w:t>Moreover, the following FFSs from WG meeting #126 are still open:</w:t>
      </w:r>
    </w:p>
    <w:p w14:paraId="05D6B3E5" w14:textId="45A32C14" w:rsidR="008035BE" w:rsidRDefault="008035BE" w:rsidP="008035BE">
      <w:pPr>
        <w:numPr>
          <w:ilvl w:val="0"/>
          <w:numId w:val="25"/>
        </w:numPr>
        <w:spacing w:after="120"/>
        <w:ind w:left="1015" w:hanging="357"/>
        <w:rPr>
          <w:lang w:val="en-US"/>
        </w:rPr>
      </w:pPr>
      <w:r>
        <w:rPr>
          <w:lang w:val="en-US"/>
        </w:rPr>
        <w:t xml:space="preserve">whether DSR triggering is impacted, i.e. how </w:t>
      </w:r>
      <w:r w:rsidRPr="008035BE">
        <w:rPr>
          <w:lang w:val="en-US"/>
        </w:rPr>
        <w:t>the NW configures DSR triggering and reporting thresholds</w:t>
      </w:r>
    </w:p>
    <w:p w14:paraId="599A773F" w14:textId="693E3A88" w:rsidR="008035BE" w:rsidRPr="008035BE" w:rsidRDefault="008035BE" w:rsidP="00C17FE0">
      <w:pPr>
        <w:numPr>
          <w:ilvl w:val="0"/>
          <w:numId w:val="25"/>
        </w:numPr>
        <w:spacing w:after="120"/>
        <w:ind w:left="1015" w:hanging="357"/>
        <w:rPr>
          <w:lang w:val="en-US"/>
        </w:rPr>
      </w:pPr>
      <w:r>
        <w:rPr>
          <w:lang w:val="en-US"/>
        </w:rPr>
        <w:t>whether PDU set importance needs to be included</w:t>
      </w:r>
    </w:p>
    <w:p w14:paraId="21D179CF" w14:textId="667BBFB6" w:rsidR="00673E7E" w:rsidRPr="00C5330E" w:rsidRDefault="00673E7E" w:rsidP="0002469C">
      <w:pPr>
        <w:jc w:val="both"/>
      </w:pPr>
      <w:r w:rsidRPr="00C5330E">
        <w:t xml:space="preserve">On the </w:t>
      </w:r>
      <w:r w:rsidR="008035BE">
        <w:t>third</w:t>
      </w:r>
      <w:r w:rsidR="008035BE" w:rsidRPr="00C5330E">
        <w:t xml:space="preserve"> </w:t>
      </w:r>
      <w:r w:rsidRPr="00C5330E">
        <w:t xml:space="preserve">FFS, we think that a DSR carrying information on multiple pairs of remaining time and buffer size for a LCG should not have any impact on the DSR triggering. The purpose of reporting multiple pairs per LCG is to provide more granular information to assist the gNB in radio resource management. Therefore, we think that the threshold for DSR trigger (i.e., </w:t>
      </w:r>
      <w:r w:rsidRPr="00A44C87">
        <w:rPr>
          <w:i/>
          <w:iCs/>
        </w:rPr>
        <w:t>remainingTimeThreshold</w:t>
      </w:r>
      <w:r w:rsidRPr="00C5330E">
        <w:t xml:space="preserve">) and the remaining time threshold(s) for reporting multiple pairs of buffer size and remaining time per LCG should be separately configured. Of course, one of the reporting remaining time </w:t>
      </w:r>
      <w:proofErr w:type="gramStart"/>
      <w:r w:rsidRPr="00C5330E">
        <w:t>threshold</w:t>
      </w:r>
      <w:proofErr w:type="gramEnd"/>
      <w:r w:rsidRPr="00C5330E">
        <w:t xml:space="preserve">(s) could have the same value as the remaining time threshold for DSR trigger. </w:t>
      </w:r>
      <w:r w:rsidR="00C75133">
        <w:t>But we see no strong need to limit the DSR trigger to be the highest or lowest reporting threshold</w:t>
      </w:r>
      <w:r w:rsidR="00C15FB6">
        <w:t>,</w:t>
      </w:r>
      <w:r w:rsidR="00C8656B">
        <w:t xml:space="preserve"> as it could be beneficial to report the data that </w:t>
      </w:r>
      <w:r w:rsidR="00C15FB6">
        <w:t>will soon become delay critical when a DRS is triggered by a lower threshold</w:t>
      </w:r>
      <w:r w:rsidR="00C75133">
        <w:t xml:space="preserve">. </w:t>
      </w:r>
      <w:r w:rsidRPr="00C5330E">
        <w:t>The reporting remaining time threshold(s) could even be configured relatively to the triggering threshold</w:t>
      </w:r>
      <w:r w:rsidR="00397A01">
        <w:t xml:space="preserve"> if needed</w:t>
      </w:r>
      <w:r w:rsidRPr="00C5330E">
        <w:t xml:space="preserve">. </w:t>
      </w:r>
      <w:r w:rsidR="00C15FB6">
        <w:t xml:space="preserve">It is </w:t>
      </w:r>
      <w:r w:rsidR="00397A01">
        <w:t>more flexible to allow</w:t>
      </w:r>
      <w:r w:rsidRPr="00C5330E">
        <w:t xml:space="preserve"> triggering threshold and reporting threshold(s) </w:t>
      </w:r>
      <w:r w:rsidR="00B01A03">
        <w:t>to</w:t>
      </w:r>
      <w:r w:rsidR="00B01A03" w:rsidRPr="00C5330E">
        <w:t xml:space="preserve"> </w:t>
      </w:r>
      <w:r w:rsidRPr="00C5330E">
        <w:t xml:space="preserve">be separately configured. </w:t>
      </w:r>
    </w:p>
    <w:p w14:paraId="7C3ABB89" w14:textId="34768BE0" w:rsidR="00673E7E" w:rsidRDefault="00673E7E" w:rsidP="00A44C87">
      <w:pPr>
        <w:jc w:val="both"/>
      </w:pPr>
      <w:r w:rsidRPr="00C5330E">
        <w:rPr>
          <w:b/>
          <w:bCs/>
        </w:rPr>
        <w:t xml:space="preserve">Proposal </w:t>
      </w:r>
      <w:r w:rsidR="004C3157">
        <w:rPr>
          <w:b/>
          <w:bCs/>
        </w:rPr>
        <w:t>1</w:t>
      </w:r>
      <w:r w:rsidRPr="00C5330E">
        <w:t xml:space="preserve">: remaining time threshold(s) for DSR triggering and reporting in case of multiple pairs of remaining time and buffer size are separately configured. </w:t>
      </w:r>
    </w:p>
    <w:p w14:paraId="6AA34ECA" w14:textId="4616793A" w:rsidR="004C3157" w:rsidRDefault="00F47C1E" w:rsidP="0002469C">
      <w:pPr>
        <w:jc w:val="both"/>
      </w:pPr>
      <w:r>
        <w:lastRenderedPageBreak/>
        <w:t xml:space="preserve">On the </w:t>
      </w:r>
      <w:r w:rsidR="00C17FE0">
        <w:t xml:space="preserve">first </w:t>
      </w:r>
      <w:r>
        <w:t xml:space="preserve">FFS, </w:t>
      </w:r>
      <w:r w:rsidR="002C58E5">
        <w:t>since</w:t>
      </w:r>
      <w:r w:rsidR="006B7794">
        <w:t xml:space="preserve"> </w:t>
      </w:r>
      <w:r w:rsidR="00137F34">
        <w:t>in the previous FFS w</w:t>
      </w:r>
      <w:r w:rsidR="0081317B">
        <w:t xml:space="preserve">e </w:t>
      </w:r>
      <w:r w:rsidR="00880A73">
        <w:t xml:space="preserve">mention that </w:t>
      </w:r>
      <w:r w:rsidR="0021459B">
        <w:t xml:space="preserve">the presence </w:t>
      </w:r>
      <w:r w:rsidR="003B4EE0">
        <w:t>o</w:t>
      </w:r>
      <w:r w:rsidR="00161733">
        <w:t xml:space="preserve">f multiple remaining </w:t>
      </w:r>
      <w:r w:rsidR="00D560EB">
        <w:t xml:space="preserve">time thresholds </w:t>
      </w:r>
      <w:r w:rsidR="00CA0172">
        <w:t>does</w:t>
      </w:r>
      <w:r w:rsidR="00D67B65">
        <w:t xml:space="preserve"> no</w:t>
      </w:r>
      <w:r w:rsidR="001819B9">
        <w:t>t</w:t>
      </w:r>
      <w:r w:rsidR="00D67B65">
        <w:t xml:space="preserve"> impact the DSR triggering</w:t>
      </w:r>
      <w:r w:rsidR="00813027">
        <w:t xml:space="preserve">, </w:t>
      </w:r>
      <w:r w:rsidR="00B62504">
        <w:t>the</w:t>
      </w:r>
      <w:r w:rsidR="000F5A0B">
        <w:t xml:space="preserve"> </w:t>
      </w:r>
      <w:r w:rsidR="00164A40">
        <w:t xml:space="preserve">same will happen with </w:t>
      </w:r>
      <w:r w:rsidR="00A16A1D">
        <w:t xml:space="preserve">the </w:t>
      </w:r>
      <w:r w:rsidR="004F5BAD">
        <w:t>delay critical data definition</w:t>
      </w:r>
      <w:r w:rsidR="00A16A1D">
        <w:t xml:space="preserve">. </w:t>
      </w:r>
      <w:r w:rsidR="0012045E">
        <w:t xml:space="preserve">Essentially, </w:t>
      </w:r>
      <w:r w:rsidR="00997717">
        <w:t>all data</w:t>
      </w:r>
      <w:r w:rsidR="00445743">
        <w:t>, wh</w:t>
      </w:r>
      <w:r w:rsidR="00C17FE0">
        <w:t>ose</w:t>
      </w:r>
      <w:r w:rsidR="00445743">
        <w:t xml:space="preserve"> remaining time is </w:t>
      </w:r>
      <w:r w:rsidR="00CA0172">
        <w:t xml:space="preserve">below the configured </w:t>
      </w:r>
      <w:r w:rsidR="00CA0172" w:rsidRPr="005D70E7">
        <w:rPr>
          <w:i/>
          <w:iCs/>
        </w:rPr>
        <w:t>remainingTimeThreshold</w:t>
      </w:r>
      <w:r w:rsidR="00CA0172">
        <w:t xml:space="preserve"> </w:t>
      </w:r>
      <w:r w:rsidR="00C17FE0">
        <w:t xml:space="preserve">for DSR triggering </w:t>
      </w:r>
      <w:r w:rsidR="00CA0172">
        <w:t>will be considered as delay-critical data.</w:t>
      </w:r>
    </w:p>
    <w:p w14:paraId="266B3E05" w14:textId="66371812" w:rsidR="00F47C1E" w:rsidRDefault="00D954BB" w:rsidP="0002469C">
      <w:pPr>
        <w:jc w:val="both"/>
      </w:pPr>
      <w:r>
        <w:t xml:space="preserve">If </w:t>
      </w:r>
      <w:r w:rsidR="00CD0C29">
        <w:t>any of the threshold configured for DSR reporting is higher than the triggering threshold, those non-delay critical data will be reported as well in the DSR. When they become delay critical after the reporting, there is no need to trigger another DSR based on current procedure since it has already been reported</w:t>
      </w:r>
      <w:r w:rsidR="0009501F">
        <w:t>, which could reduce frequent DSR trigger as well</w:t>
      </w:r>
      <w:r w:rsidR="00CD0C29">
        <w:t>.</w:t>
      </w:r>
    </w:p>
    <w:p w14:paraId="106E989B" w14:textId="09A9E8A2" w:rsidR="00A26CAD" w:rsidRDefault="00A26CAD" w:rsidP="0002469C">
      <w:pPr>
        <w:jc w:val="both"/>
      </w:pPr>
      <w:r w:rsidRPr="00C5330E">
        <w:rPr>
          <w:b/>
          <w:bCs/>
        </w:rPr>
        <w:t xml:space="preserve">Proposal </w:t>
      </w:r>
      <w:r w:rsidR="004C3157">
        <w:rPr>
          <w:b/>
          <w:bCs/>
        </w:rPr>
        <w:t>2</w:t>
      </w:r>
      <w:r w:rsidRPr="00C5330E">
        <w:t xml:space="preserve">: </w:t>
      </w:r>
      <w:r w:rsidR="000B66A2">
        <w:t xml:space="preserve">the presence of multiple reporting thresholds would not impact the </w:t>
      </w:r>
      <w:r w:rsidR="009B5EF8">
        <w:t xml:space="preserve">delay critical data </w:t>
      </w:r>
      <w:r w:rsidR="00CF70D1">
        <w:t>definition</w:t>
      </w:r>
      <w:r w:rsidR="00543269">
        <w:t xml:space="preserve">, </w:t>
      </w:r>
      <w:r w:rsidR="00D954BB">
        <w:t>which is used for DSR</w:t>
      </w:r>
      <w:r w:rsidR="004C3157">
        <w:t xml:space="preserve"> triggering</w:t>
      </w:r>
      <w:r w:rsidR="00D954BB">
        <w:t>, but non-delay critical data can also be reported in the DSR with multiple pairs if it is configured with any threshold higher than the triggering threshold</w:t>
      </w:r>
      <w:r w:rsidR="00CF70D1">
        <w:t>.</w:t>
      </w:r>
    </w:p>
    <w:p w14:paraId="644775EF" w14:textId="46AAF1A5" w:rsidR="00974401" w:rsidRDefault="00AD1DBF" w:rsidP="0002469C">
      <w:pPr>
        <w:jc w:val="both"/>
      </w:pPr>
      <w:r>
        <w:t xml:space="preserve">With the possibility of reporting </w:t>
      </w:r>
      <w:r w:rsidR="00472462">
        <w:t xml:space="preserve">data with </w:t>
      </w:r>
      <w:r w:rsidR="001F4A4F">
        <w:t>longer</w:t>
      </w:r>
      <w:r w:rsidR="00472462">
        <w:t xml:space="preserve"> remaining time </w:t>
      </w:r>
      <w:r w:rsidR="001F4A4F">
        <w:t>than the triggering threshold, DSR could serve the purpose of BSR as well when all the data are reported</w:t>
      </w:r>
      <w:r w:rsidR="00A612D8">
        <w:t>.</w:t>
      </w:r>
      <w:r w:rsidR="001F4A4F">
        <w:t xml:space="preserve"> It could make more sense than legacy to allow disabling BSR when all the data are already</w:t>
      </w:r>
      <w:r w:rsidR="00974401">
        <w:t xml:space="preserve"> reported in DSR. </w:t>
      </w:r>
      <w:r w:rsidR="00A908D2">
        <w:t>It is up to NW to configure the thresholds and whether to configure disabling BSR.</w:t>
      </w:r>
      <w:r w:rsidR="00006313">
        <w:t xml:space="preserve"> However, it is currently not possible to disable BSR but enable DSR.</w:t>
      </w:r>
    </w:p>
    <w:p w14:paraId="45612F7A" w14:textId="564E37B0" w:rsidR="00A612D8" w:rsidRDefault="00974401" w:rsidP="0002469C">
      <w:pPr>
        <w:jc w:val="both"/>
      </w:pPr>
      <w:r w:rsidRPr="006922B2">
        <w:rPr>
          <w:b/>
          <w:bCs/>
        </w:rPr>
        <w:t xml:space="preserve">Proposal </w:t>
      </w:r>
      <w:r w:rsidR="004C3157" w:rsidRPr="006922B2">
        <w:rPr>
          <w:b/>
          <w:bCs/>
        </w:rPr>
        <w:t>3</w:t>
      </w:r>
      <w:r>
        <w:t xml:space="preserve">: </w:t>
      </w:r>
      <w:r w:rsidR="00543269">
        <w:t>a</w:t>
      </w:r>
      <w:r>
        <w:t>llow to configure certain LCG as to be reported in DSR only without BSR.</w:t>
      </w:r>
    </w:p>
    <w:p w14:paraId="4C321941" w14:textId="26A9C32C" w:rsidR="00066ECF" w:rsidRPr="00C5330E" w:rsidRDefault="00066ECF" w:rsidP="00A44C87">
      <w:pPr>
        <w:jc w:val="both"/>
      </w:pPr>
      <w:r w:rsidRPr="00C5330E">
        <w:t xml:space="preserve">On the </w:t>
      </w:r>
      <w:r w:rsidR="00A25077">
        <w:t>second</w:t>
      </w:r>
      <w:r w:rsidR="00A25077" w:rsidRPr="00C5330E">
        <w:t xml:space="preserve"> </w:t>
      </w:r>
      <w:r w:rsidRPr="00C5330E">
        <w:t xml:space="preserve">FFS, </w:t>
      </w:r>
      <w:proofErr w:type="gramStart"/>
      <w:r w:rsidR="009E0253">
        <w:t>it is clear</w:t>
      </w:r>
      <w:r w:rsidR="002D356E">
        <w:t xml:space="preserve"> that</w:t>
      </w:r>
      <w:r w:rsidR="00543269">
        <w:t xml:space="preserve"> </w:t>
      </w:r>
      <w:r w:rsidR="00D34F7B">
        <w:t>with</w:t>
      </w:r>
      <w:proofErr w:type="gramEnd"/>
      <w:r w:rsidR="00D34F7B">
        <w:t xml:space="preserve"> </w:t>
      </w:r>
      <w:r w:rsidR="006614C5">
        <w:t xml:space="preserve">the </w:t>
      </w:r>
      <w:r w:rsidRPr="00C5330E">
        <w:t>current DSR</w:t>
      </w:r>
      <w:r w:rsidR="00A25077">
        <w:t xml:space="preserve"> </w:t>
      </w:r>
      <w:r w:rsidRPr="00C5330E">
        <w:t xml:space="preserve">the NW </w:t>
      </w:r>
      <w:r w:rsidR="00F6674A">
        <w:t>is</w:t>
      </w:r>
      <w:r w:rsidRPr="00C5330E">
        <w:t xml:space="preserve"> unaware </w:t>
      </w:r>
      <w:r w:rsidR="00F70CFA">
        <w:t>when non</w:t>
      </w:r>
      <w:r w:rsidR="00357B05">
        <w:t>-</w:t>
      </w:r>
      <w:r w:rsidR="00F70CFA">
        <w:t>delay critical</w:t>
      </w:r>
      <w:r w:rsidR="008963D5">
        <w:t xml:space="preserve"> </w:t>
      </w:r>
      <w:r w:rsidRPr="00C5330E">
        <w:t>data</w:t>
      </w:r>
      <w:r w:rsidR="008963D5">
        <w:t xml:space="preserve"> is</w:t>
      </w:r>
      <w:r w:rsidRPr="00C5330E">
        <w:t xml:space="preserve"> ahead of delay critical data</w:t>
      </w:r>
      <w:r w:rsidR="00543269">
        <w:t xml:space="preserve"> in the queue</w:t>
      </w:r>
      <w:r w:rsidRPr="00C5330E">
        <w:t xml:space="preserve">. </w:t>
      </w:r>
      <w:r w:rsidR="00857F7A">
        <w:t>Therefore</w:t>
      </w:r>
      <w:r w:rsidR="00EA7217">
        <w:t xml:space="preserve">, since </w:t>
      </w:r>
      <w:r w:rsidR="005328B9">
        <w:t>the amount of non</w:t>
      </w:r>
      <w:r w:rsidR="00357B05">
        <w:t>-</w:t>
      </w:r>
      <w:r w:rsidR="005328B9">
        <w:t xml:space="preserve">delay critical data has not </w:t>
      </w:r>
      <w:r w:rsidR="0067312A">
        <w:t>been reported in the DSR</w:t>
      </w:r>
      <w:r w:rsidR="00CC5802">
        <w:t xml:space="preserve"> (and the gNB is not able to </w:t>
      </w:r>
      <w:r w:rsidR="00FB7506">
        <w:t>extract it from the BSR</w:t>
      </w:r>
      <w:r w:rsidR="00CC5802">
        <w:t>)</w:t>
      </w:r>
      <w:r w:rsidRPr="00C5330E">
        <w:t xml:space="preserve">, the gNB schedules resources based on what reported in the buffer size field of the DSR, </w:t>
      </w:r>
      <w:r w:rsidR="00CF6F1E">
        <w:t>and</w:t>
      </w:r>
      <w:r w:rsidRPr="00C5330E">
        <w:t xml:space="preserve"> the allocated resources may not be sufficient for the transmission of delay-critical data. </w:t>
      </w:r>
      <w:r w:rsidR="00A25077">
        <w:t xml:space="preserve">To </w:t>
      </w:r>
      <w:r w:rsidR="0049161F">
        <w:t xml:space="preserve">illustrate this problem, let’s consider an example where </w:t>
      </w:r>
      <w:r w:rsidRPr="00C5330E">
        <w:t>data belonging to different PDU sets</w:t>
      </w:r>
      <w:r w:rsidR="0049161F">
        <w:t xml:space="preserve"> </w:t>
      </w:r>
      <w:r w:rsidRPr="00C5330E">
        <w:t>with different importance levels arrive in the UE buffer interlaced</w:t>
      </w:r>
      <w:r w:rsidR="00A25077">
        <w:t>. S</w:t>
      </w:r>
      <w:r w:rsidRPr="00C5330E">
        <w:t>eparately signal</w:t>
      </w:r>
      <w:r w:rsidR="00A25077">
        <w:t>l</w:t>
      </w:r>
      <w:r w:rsidRPr="00C5330E">
        <w:t xml:space="preserve">ing the buffer size and remaining time of high importance and low importance data in </w:t>
      </w:r>
      <w:r w:rsidR="00A25077">
        <w:t xml:space="preserve">the </w:t>
      </w:r>
      <w:r w:rsidRPr="00C5330E">
        <w:t xml:space="preserve">DSR may not be sufficient for the gNB to determine how many resources are needed for a UE to be able to transmit </w:t>
      </w:r>
      <w:r w:rsidR="0049161F">
        <w:t>delay-critical</w:t>
      </w:r>
      <w:r w:rsidRPr="00C5330E">
        <w:t xml:space="preserve"> data. </w:t>
      </w:r>
      <w:r w:rsidR="004C1884">
        <w:t>Then, the only way to</w:t>
      </w:r>
      <w:r w:rsidR="00236CAB">
        <w:t xml:space="preserve"> </w:t>
      </w:r>
      <w:r w:rsidR="00463801">
        <w:t xml:space="preserve">avoid </w:t>
      </w:r>
      <w:r w:rsidR="00A84A71">
        <w:t>this issue is by</w:t>
      </w:r>
      <w:r w:rsidR="00AF1EAE">
        <w:t xml:space="preserve"> </w:t>
      </w:r>
      <w:r w:rsidR="00F945B2">
        <w:t xml:space="preserve">including </w:t>
      </w:r>
      <w:r w:rsidR="00A82403">
        <w:t>non</w:t>
      </w:r>
      <w:r w:rsidR="00E65FBE">
        <w:t>-delay critical data</w:t>
      </w:r>
      <w:r w:rsidR="00B55A1A">
        <w:t xml:space="preserve"> ahead </w:t>
      </w:r>
      <w:r w:rsidR="0049161F">
        <w:t xml:space="preserve">of </w:t>
      </w:r>
      <w:r w:rsidR="005477D6">
        <w:t xml:space="preserve">delay critical data in the </w:t>
      </w:r>
      <w:r w:rsidR="006D7DB7">
        <w:t xml:space="preserve">buffer size </w:t>
      </w:r>
      <w:r w:rsidR="00755E97">
        <w:t>calculation</w:t>
      </w:r>
      <w:r w:rsidR="004070A8">
        <w:t xml:space="preserve"> to be reported</w:t>
      </w:r>
      <w:r w:rsidR="006D7DB7">
        <w:t xml:space="preserve"> in the DSR.</w:t>
      </w:r>
      <w:r w:rsidR="00543269">
        <w:t xml:space="preserve"> </w:t>
      </w:r>
      <w:r w:rsidRPr="00C5330E">
        <w:t xml:space="preserve">This issue is </w:t>
      </w:r>
      <w:r w:rsidR="00543269">
        <w:t xml:space="preserve">schematically </w:t>
      </w:r>
      <w:r w:rsidRPr="00C5330E">
        <w:t xml:space="preserve">illustrated in Figure 1. </w:t>
      </w:r>
      <w:r w:rsidR="00543269">
        <w:t xml:space="preserve">Note that, even if illustrated for delay-critical and low-importance data, the issue may also consist for high-importance delay-critical and non-delay critical data. </w:t>
      </w:r>
    </w:p>
    <w:p w14:paraId="436AF11B" w14:textId="77777777" w:rsidR="00066ECF" w:rsidRPr="006844CF" w:rsidRDefault="00066ECF" w:rsidP="00066ECF">
      <w:pPr>
        <w:pStyle w:val="paragraph"/>
        <w:spacing w:before="0" w:beforeAutospacing="0" w:after="0" w:afterAutospacing="0"/>
        <w:jc w:val="center"/>
        <w:textAlignment w:val="baseline"/>
        <w:rPr>
          <w:rFonts w:ascii="Segoe UI" w:hAnsi="Segoe UI" w:cs="Segoe UI"/>
          <w:sz w:val="18"/>
          <w:szCs w:val="18"/>
        </w:rPr>
      </w:pPr>
      <w:r w:rsidRPr="006844CF">
        <w:rPr>
          <w:rStyle w:val="wacimagecontainer"/>
          <w:rFonts w:ascii="Segoe UI" w:hAnsi="Segoe UI" w:cs="Segoe UI"/>
          <w:noProof/>
          <w:sz w:val="18"/>
          <w:szCs w:val="18"/>
        </w:rPr>
        <w:drawing>
          <wp:inline distT="0" distB="0" distL="0" distR="0" wp14:anchorId="0EEA71F7" wp14:editId="5322BDD6">
            <wp:extent cx="2389505" cy="3001010"/>
            <wp:effectExtent l="0" t="0" r="0" b="0"/>
            <wp:docPr id="407629388"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25742" name="Picture 1" descr="A screen shot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9505" cy="3001010"/>
                    </a:xfrm>
                    <a:prstGeom prst="rect">
                      <a:avLst/>
                    </a:prstGeom>
                    <a:noFill/>
                    <a:ln>
                      <a:noFill/>
                    </a:ln>
                  </pic:spPr>
                </pic:pic>
              </a:graphicData>
            </a:graphic>
          </wp:inline>
        </w:drawing>
      </w:r>
      <w:r w:rsidRPr="006844CF">
        <w:rPr>
          <w:rStyle w:val="eop"/>
        </w:rPr>
        <w:t> </w:t>
      </w:r>
    </w:p>
    <w:p w14:paraId="78B0750B" w14:textId="77777777" w:rsidR="00066ECF" w:rsidRDefault="00066ECF" w:rsidP="00066ECF">
      <w:pPr>
        <w:pStyle w:val="paragraph"/>
        <w:spacing w:before="0" w:beforeAutospacing="0" w:after="0" w:afterAutospacing="0"/>
        <w:jc w:val="center"/>
        <w:textAlignment w:val="baseline"/>
        <w:rPr>
          <w:rStyle w:val="eop"/>
          <w:rFonts w:ascii="Arial" w:hAnsi="Arial" w:cs="Arial"/>
          <w:b/>
          <w:bCs/>
          <w:sz w:val="20"/>
          <w:szCs w:val="20"/>
        </w:rPr>
      </w:pPr>
      <w:r w:rsidRPr="006844CF">
        <w:rPr>
          <w:rStyle w:val="normaltextrun"/>
          <w:rFonts w:ascii="Arial" w:hAnsi="Arial" w:cs="Arial"/>
          <w:b/>
          <w:bCs/>
          <w:sz w:val="20"/>
          <w:szCs w:val="20"/>
        </w:rPr>
        <w:t>Figure 1: DSR with low-importance and high importance data </w:t>
      </w:r>
      <w:r w:rsidRPr="006844CF">
        <w:rPr>
          <w:rStyle w:val="eop"/>
          <w:rFonts w:ascii="Arial" w:hAnsi="Arial" w:cs="Arial"/>
          <w:b/>
          <w:bCs/>
          <w:sz w:val="20"/>
          <w:szCs w:val="20"/>
        </w:rPr>
        <w:t> </w:t>
      </w:r>
    </w:p>
    <w:p w14:paraId="248717D7" w14:textId="77777777" w:rsidR="00066ECF" w:rsidRPr="006844CF" w:rsidRDefault="00066ECF" w:rsidP="00066ECF">
      <w:pPr>
        <w:pStyle w:val="paragraph"/>
        <w:spacing w:before="0" w:beforeAutospacing="0" w:after="0" w:afterAutospacing="0"/>
        <w:jc w:val="center"/>
        <w:textAlignment w:val="baseline"/>
        <w:rPr>
          <w:rFonts w:ascii="Segoe UI" w:hAnsi="Segoe UI" w:cs="Segoe UI"/>
          <w:b/>
          <w:bCs/>
          <w:sz w:val="18"/>
          <w:szCs w:val="18"/>
        </w:rPr>
      </w:pPr>
    </w:p>
    <w:p w14:paraId="3B92EF13" w14:textId="23D33FD5" w:rsidR="00066ECF" w:rsidRPr="003273B6" w:rsidRDefault="00066ECF" w:rsidP="00543269">
      <w:pPr>
        <w:jc w:val="both"/>
        <w:rPr>
          <w:lang w:val="en-US"/>
        </w:rPr>
      </w:pPr>
      <w:r w:rsidRPr="00C5330E">
        <w:rPr>
          <w:b/>
          <w:bCs/>
        </w:rPr>
        <w:t xml:space="preserve">Proposal </w:t>
      </w:r>
      <w:r w:rsidR="00543269">
        <w:rPr>
          <w:b/>
          <w:bCs/>
        </w:rPr>
        <w:t>4</w:t>
      </w:r>
      <w:r w:rsidRPr="00C5330E">
        <w:t xml:space="preserve">: </w:t>
      </w:r>
      <w:r w:rsidR="00543269">
        <w:t>i</w:t>
      </w:r>
      <w:r w:rsidRPr="00C5330E">
        <w:t xml:space="preserve">nclude </w:t>
      </w:r>
      <w:r w:rsidR="0093405B">
        <w:t>non-delay critical</w:t>
      </w:r>
      <w:r w:rsidRPr="00C5330E">
        <w:t xml:space="preserve"> data ahead of </w:t>
      </w:r>
      <w:r w:rsidRPr="00673E7E">
        <w:t>delay</w:t>
      </w:r>
      <w:r w:rsidR="00543269">
        <w:t xml:space="preserve"> </w:t>
      </w:r>
      <w:r w:rsidRPr="00673E7E">
        <w:t>critical</w:t>
      </w:r>
      <w:r w:rsidRPr="00C5330E">
        <w:t xml:space="preserve"> data in the buffer size calculation for DSR</w:t>
      </w:r>
      <w:r w:rsidRPr="003273B6">
        <w:rPr>
          <w:lang w:val="en-US"/>
        </w:rPr>
        <w:t>.</w:t>
      </w:r>
      <w:r w:rsidR="00543269">
        <w:rPr>
          <w:lang w:val="en-US"/>
        </w:rPr>
        <w:t xml:space="preserve"> FFS how to extend this to DSR with multiple reporting thresholds. </w:t>
      </w:r>
    </w:p>
    <w:p w14:paraId="1B0E0B2E" w14:textId="3F6FFDEA" w:rsidR="00673E7E" w:rsidRDefault="00217009" w:rsidP="00543269">
      <w:pPr>
        <w:jc w:val="both"/>
      </w:pPr>
      <w:r>
        <w:t xml:space="preserve">It should also be discussed </w:t>
      </w:r>
      <w:r w:rsidR="00B34C7F">
        <w:t xml:space="preserve">how the new DSR works together with legacy DSR when there are LCGs </w:t>
      </w:r>
      <w:r w:rsidR="00F845E3">
        <w:t xml:space="preserve">configured with single and multiple reporting </w:t>
      </w:r>
      <w:r w:rsidR="001B311B">
        <w:t>threshold</w:t>
      </w:r>
      <w:r w:rsidR="00543269">
        <w:t>s</w:t>
      </w:r>
      <w:r w:rsidR="001B311B">
        <w:t xml:space="preserve">. </w:t>
      </w:r>
      <w:r w:rsidR="00A97E7F">
        <w:t>Similar</w:t>
      </w:r>
      <w:r w:rsidR="00543269">
        <w:t>ly</w:t>
      </w:r>
      <w:r w:rsidR="00A97E7F">
        <w:t xml:space="preserve"> to BSR, </w:t>
      </w:r>
      <w:r w:rsidR="00543269">
        <w:t xml:space="preserve">the </w:t>
      </w:r>
      <w:r w:rsidR="00A97E7F">
        <w:t>s</w:t>
      </w:r>
      <w:r w:rsidR="001B311B">
        <w:t>implest way would be to report</w:t>
      </w:r>
      <w:r w:rsidR="00A97E7F">
        <w:t xml:space="preserve"> the new DSR whenever there is any LCG that requires to report multiple pairs. Otherwise, legacy DSR is reported.</w:t>
      </w:r>
    </w:p>
    <w:p w14:paraId="7A693249" w14:textId="36CDFFD4" w:rsidR="00A97E7F" w:rsidRPr="00C5330E" w:rsidRDefault="00A97E7F" w:rsidP="00543269">
      <w:pPr>
        <w:jc w:val="both"/>
      </w:pPr>
      <w:r w:rsidRPr="006922B2">
        <w:rPr>
          <w:b/>
          <w:bCs/>
        </w:rPr>
        <w:t xml:space="preserve">Proposal </w:t>
      </w:r>
      <w:r w:rsidR="00543269">
        <w:rPr>
          <w:b/>
          <w:bCs/>
        </w:rPr>
        <w:t>5</w:t>
      </w:r>
      <w:r>
        <w:t xml:space="preserve">: when there is any LCG that needs to report multiple pairs, the new DSR format is used, otherwise legacy DSR is </w:t>
      </w:r>
      <w:r w:rsidR="00543269">
        <w:t>used</w:t>
      </w:r>
      <w:r>
        <w:t>.</w:t>
      </w:r>
    </w:p>
    <w:p w14:paraId="69B7B8E6" w14:textId="69E07FC9" w:rsidR="009339CB" w:rsidRPr="006E13D1" w:rsidRDefault="005A13AB" w:rsidP="009339CB">
      <w:pPr>
        <w:pStyle w:val="Heading1"/>
      </w:pPr>
      <w:r>
        <w:t>3</w:t>
      </w:r>
      <w:r w:rsidR="009339CB" w:rsidRPr="006E13D1">
        <w:tab/>
      </w:r>
      <w:r w:rsidR="009339CB">
        <w:t>Conclusion</w:t>
      </w:r>
    </w:p>
    <w:p w14:paraId="24D91113" w14:textId="77777777" w:rsidR="004C3157" w:rsidRDefault="004C3157" w:rsidP="00543269">
      <w:pPr>
        <w:jc w:val="both"/>
      </w:pPr>
      <w:r>
        <w:t>DSR enhancements for XR are discussed in this contribution with the following proposals made:</w:t>
      </w:r>
    </w:p>
    <w:p w14:paraId="0CBF2AB2" w14:textId="77777777" w:rsidR="004C3157" w:rsidRDefault="004C3157" w:rsidP="00543269">
      <w:pPr>
        <w:jc w:val="both"/>
      </w:pPr>
      <w:r w:rsidRPr="00C5330E">
        <w:rPr>
          <w:b/>
          <w:bCs/>
        </w:rPr>
        <w:t xml:space="preserve">Proposal </w:t>
      </w:r>
      <w:r>
        <w:rPr>
          <w:b/>
          <w:bCs/>
        </w:rPr>
        <w:t>1</w:t>
      </w:r>
      <w:r w:rsidRPr="00C5330E">
        <w:t xml:space="preserve">: remaining time threshold(s) for DSR triggering and reporting in case of multiple pairs of remaining time and buffer size are separately configured. </w:t>
      </w:r>
    </w:p>
    <w:p w14:paraId="704FC80B" w14:textId="17DC2E60" w:rsidR="006922B2" w:rsidRDefault="004C3157" w:rsidP="00543269">
      <w:pPr>
        <w:jc w:val="both"/>
      </w:pPr>
      <w:r w:rsidRPr="00C5330E">
        <w:rPr>
          <w:b/>
          <w:bCs/>
        </w:rPr>
        <w:t xml:space="preserve">Proposal </w:t>
      </w:r>
      <w:r>
        <w:rPr>
          <w:b/>
          <w:bCs/>
        </w:rPr>
        <w:t>2</w:t>
      </w:r>
      <w:r w:rsidRPr="00C5330E">
        <w:t xml:space="preserve">: </w:t>
      </w:r>
      <w:r>
        <w:t>the presence of multiple reporting thresholds would not impact the delay critical data definition</w:t>
      </w:r>
      <w:r w:rsidR="00543269">
        <w:t xml:space="preserve">, </w:t>
      </w:r>
      <w:r>
        <w:t>which is used for DSR triggering, but non-delay critical data can also be reported in the DSR with multiple pairs if it is configured with any threshold higher than the triggering threshold.</w:t>
      </w:r>
    </w:p>
    <w:p w14:paraId="607E3948" w14:textId="74EBE1DA" w:rsidR="006922B2" w:rsidRDefault="006922B2" w:rsidP="00543269">
      <w:pPr>
        <w:jc w:val="both"/>
      </w:pPr>
      <w:r w:rsidRPr="006922B2">
        <w:rPr>
          <w:b/>
          <w:bCs/>
        </w:rPr>
        <w:t>Proposal 3</w:t>
      </w:r>
      <w:r>
        <w:t xml:space="preserve">: </w:t>
      </w:r>
      <w:r w:rsidR="00543269">
        <w:t>a</w:t>
      </w:r>
      <w:r>
        <w:t>llow to configure certain LCG as to be reported in DSR only without BSR.</w:t>
      </w:r>
    </w:p>
    <w:p w14:paraId="763D5F5C" w14:textId="62E6D061" w:rsidR="00543269" w:rsidRPr="00543269" w:rsidRDefault="00543269" w:rsidP="00543269">
      <w:pPr>
        <w:jc w:val="both"/>
        <w:rPr>
          <w:lang w:val="en-US"/>
        </w:rPr>
      </w:pPr>
      <w:r w:rsidRPr="00C5330E">
        <w:rPr>
          <w:b/>
          <w:bCs/>
        </w:rPr>
        <w:t xml:space="preserve">Proposal </w:t>
      </w:r>
      <w:r>
        <w:rPr>
          <w:b/>
          <w:bCs/>
        </w:rPr>
        <w:t>4</w:t>
      </w:r>
      <w:r w:rsidRPr="00C5330E">
        <w:t xml:space="preserve">: </w:t>
      </w:r>
      <w:r>
        <w:t>i</w:t>
      </w:r>
      <w:r w:rsidRPr="00C5330E">
        <w:t xml:space="preserve">nclude </w:t>
      </w:r>
      <w:r>
        <w:t>non-delay critical</w:t>
      </w:r>
      <w:r w:rsidRPr="00C5330E">
        <w:t xml:space="preserve"> data ahead of </w:t>
      </w:r>
      <w:r w:rsidRPr="00673E7E">
        <w:t>delay</w:t>
      </w:r>
      <w:r>
        <w:t xml:space="preserve"> </w:t>
      </w:r>
      <w:r w:rsidRPr="00673E7E">
        <w:t>critical</w:t>
      </w:r>
      <w:r w:rsidRPr="00C5330E">
        <w:t xml:space="preserve"> data in the buffer size calculation for DSR</w:t>
      </w:r>
      <w:r w:rsidRPr="003273B6">
        <w:rPr>
          <w:lang w:val="en-US"/>
        </w:rPr>
        <w:t>.</w:t>
      </w:r>
      <w:r>
        <w:rPr>
          <w:lang w:val="en-US"/>
        </w:rPr>
        <w:t xml:space="preserve"> FFS how to extend this to DSR with multiple reporting thresholds. </w:t>
      </w:r>
    </w:p>
    <w:p w14:paraId="35F222F4" w14:textId="3F1418C1" w:rsidR="00080512" w:rsidRPr="00A209D6" w:rsidRDefault="006922B2" w:rsidP="00B60B4B">
      <w:pPr>
        <w:jc w:val="both"/>
      </w:pPr>
      <w:r w:rsidRPr="006922B2">
        <w:rPr>
          <w:b/>
          <w:bCs/>
        </w:rPr>
        <w:t xml:space="preserve">Proposal </w:t>
      </w:r>
      <w:r w:rsidR="00D637B1">
        <w:rPr>
          <w:b/>
          <w:bCs/>
        </w:rPr>
        <w:t>5</w:t>
      </w:r>
      <w:r>
        <w:t xml:space="preserve">: when there is any LCG that needs to report multiple pairs, the new DSR format is used, otherwise legacy DSR is </w:t>
      </w:r>
      <w:r w:rsidR="00543269">
        <w:t>used</w:t>
      </w:r>
      <w:r>
        <w:t>.</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072B4" w14:textId="77777777" w:rsidR="005A690A" w:rsidRDefault="005A690A">
      <w:r>
        <w:separator/>
      </w:r>
    </w:p>
  </w:endnote>
  <w:endnote w:type="continuationSeparator" w:id="0">
    <w:p w14:paraId="279BEE19" w14:textId="77777777" w:rsidR="005A690A" w:rsidRDefault="005A690A">
      <w:r>
        <w:continuationSeparator/>
      </w:r>
    </w:p>
  </w:endnote>
  <w:endnote w:type="continuationNotice" w:id="1">
    <w:p w14:paraId="2EF43C0A" w14:textId="77777777" w:rsidR="005A690A" w:rsidRDefault="005A6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A087D" w14:textId="77777777" w:rsidR="00B60B4B" w:rsidRDefault="00B60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999FF" w14:textId="77777777" w:rsidR="00B60B4B" w:rsidRDefault="00B60B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542F1" w14:textId="77777777" w:rsidR="00B60B4B" w:rsidRDefault="00B60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1FB9" w14:textId="77777777" w:rsidR="005A690A" w:rsidRDefault="005A690A">
      <w:r>
        <w:separator/>
      </w:r>
    </w:p>
  </w:footnote>
  <w:footnote w:type="continuationSeparator" w:id="0">
    <w:p w14:paraId="16A79B72" w14:textId="77777777" w:rsidR="005A690A" w:rsidRDefault="005A690A">
      <w:r>
        <w:continuationSeparator/>
      </w:r>
    </w:p>
  </w:footnote>
  <w:footnote w:type="continuationNotice" w:id="1">
    <w:p w14:paraId="0F5BD91D" w14:textId="77777777" w:rsidR="005A690A" w:rsidRDefault="005A6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ADF57" w14:textId="77777777" w:rsidR="00B60B4B" w:rsidRDefault="00B60B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60A3E" w14:textId="77777777" w:rsidR="00B60B4B" w:rsidRDefault="00B60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3A35C" w14:textId="77777777" w:rsidR="00B60B4B" w:rsidRDefault="00B60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946F2"/>
    <w:multiLevelType w:val="hybridMultilevel"/>
    <w:tmpl w:val="9AF2A932"/>
    <w:lvl w:ilvl="0" w:tplc="FFFFFFFF">
      <w:start w:val="1"/>
      <w:numFmt w:val="bullet"/>
      <w:lvlText w:val=""/>
      <w:lvlJc w:val="left"/>
      <w:pPr>
        <w:ind w:left="720" w:hanging="360"/>
      </w:pPr>
      <w:rPr>
        <w:rFonts w:ascii="Symbol" w:hAnsi="Symbol" w:hint="default"/>
        <w:b/>
        <w:bCs/>
        <w:sz w:val="22"/>
        <w:szCs w:val="28"/>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1F195F"/>
    <w:multiLevelType w:val="hybridMultilevel"/>
    <w:tmpl w:val="FFFFFFFF"/>
    <w:lvl w:ilvl="0" w:tplc="D2E63B24">
      <w:start w:val="1"/>
      <w:numFmt w:val="bullet"/>
      <w:lvlText w:val=""/>
      <w:lvlJc w:val="left"/>
      <w:pPr>
        <w:ind w:left="720" w:hanging="360"/>
      </w:pPr>
      <w:rPr>
        <w:rFonts w:ascii="Symbol" w:hAnsi="Symbol" w:hint="default"/>
      </w:rPr>
    </w:lvl>
    <w:lvl w:ilvl="1" w:tplc="39AABCDA">
      <w:start w:val="1"/>
      <w:numFmt w:val="bullet"/>
      <w:lvlText w:val="o"/>
      <w:lvlJc w:val="left"/>
      <w:pPr>
        <w:ind w:left="1440" w:hanging="360"/>
      </w:pPr>
      <w:rPr>
        <w:rFonts w:ascii="Courier New" w:hAnsi="Courier New" w:hint="default"/>
      </w:rPr>
    </w:lvl>
    <w:lvl w:ilvl="2" w:tplc="99606B10">
      <w:start w:val="1"/>
      <w:numFmt w:val="bullet"/>
      <w:lvlText w:val=""/>
      <w:lvlJc w:val="left"/>
      <w:pPr>
        <w:ind w:left="2160" w:hanging="360"/>
      </w:pPr>
      <w:rPr>
        <w:rFonts w:ascii="Wingdings" w:hAnsi="Wingdings" w:hint="default"/>
      </w:rPr>
    </w:lvl>
    <w:lvl w:ilvl="3" w:tplc="C35C5714">
      <w:start w:val="1"/>
      <w:numFmt w:val="bullet"/>
      <w:lvlText w:val=""/>
      <w:lvlJc w:val="left"/>
      <w:pPr>
        <w:ind w:left="2880" w:hanging="360"/>
      </w:pPr>
      <w:rPr>
        <w:rFonts w:ascii="Symbol" w:hAnsi="Symbol" w:hint="default"/>
      </w:rPr>
    </w:lvl>
    <w:lvl w:ilvl="4" w:tplc="F238FF0E">
      <w:start w:val="1"/>
      <w:numFmt w:val="bullet"/>
      <w:lvlText w:val="o"/>
      <w:lvlJc w:val="left"/>
      <w:pPr>
        <w:ind w:left="3600" w:hanging="360"/>
      </w:pPr>
      <w:rPr>
        <w:rFonts w:ascii="Courier New" w:hAnsi="Courier New" w:hint="default"/>
      </w:rPr>
    </w:lvl>
    <w:lvl w:ilvl="5" w:tplc="77D21662">
      <w:start w:val="1"/>
      <w:numFmt w:val="bullet"/>
      <w:lvlText w:val=""/>
      <w:lvlJc w:val="left"/>
      <w:pPr>
        <w:ind w:left="4320" w:hanging="360"/>
      </w:pPr>
      <w:rPr>
        <w:rFonts w:ascii="Wingdings" w:hAnsi="Wingdings" w:hint="default"/>
      </w:rPr>
    </w:lvl>
    <w:lvl w:ilvl="6" w:tplc="197E3810">
      <w:start w:val="1"/>
      <w:numFmt w:val="bullet"/>
      <w:lvlText w:val=""/>
      <w:lvlJc w:val="left"/>
      <w:pPr>
        <w:ind w:left="5040" w:hanging="360"/>
      </w:pPr>
      <w:rPr>
        <w:rFonts w:ascii="Symbol" w:hAnsi="Symbol" w:hint="default"/>
      </w:rPr>
    </w:lvl>
    <w:lvl w:ilvl="7" w:tplc="07BE3D4E">
      <w:start w:val="1"/>
      <w:numFmt w:val="bullet"/>
      <w:lvlText w:val="o"/>
      <w:lvlJc w:val="left"/>
      <w:pPr>
        <w:ind w:left="5760" w:hanging="360"/>
      </w:pPr>
      <w:rPr>
        <w:rFonts w:ascii="Courier New" w:hAnsi="Courier New" w:hint="default"/>
      </w:rPr>
    </w:lvl>
    <w:lvl w:ilvl="8" w:tplc="6312061A">
      <w:start w:val="1"/>
      <w:numFmt w:val="bullet"/>
      <w:lvlText w:val=""/>
      <w:lvlJc w:val="left"/>
      <w:pPr>
        <w:ind w:left="6480" w:hanging="360"/>
      </w:pPr>
      <w:rPr>
        <w:rFonts w:ascii="Wingdings" w:hAnsi="Wingdings" w:hint="default"/>
      </w:rPr>
    </w:lvl>
  </w:abstractNum>
  <w:abstractNum w:abstractNumId="14" w15:restartNumberingAfterBreak="0">
    <w:nsid w:val="267E4E39"/>
    <w:multiLevelType w:val="hybridMultilevel"/>
    <w:tmpl w:val="FFFFFFFF"/>
    <w:lvl w:ilvl="0" w:tplc="E1B6AD30">
      <w:start w:val="1"/>
      <w:numFmt w:val="bullet"/>
      <w:lvlText w:val=""/>
      <w:lvlJc w:val="left"/>
      <w:pPr>
        <w:ind w:left="720" w:hanging="360"/>
      </w:pPr>
      <w:rPr>
        <w:rFonts w:ascii="Symbol" w:hAnsi="Symbol" w:hint="default"/>
      </w:rPr>
    </w:lvl>
    <w:lvl w:ilvl="1" w:tplc="74FEC152">
      <w:start w:val="1"/>
      <w:numFmt w:val="bullet"/>
      <w:lvlText w:val="o"/>
      <w:lvlJc w:val="left"/>
      <w:pPr>
        <w:ind w:left="1440" w:hanging="360"/>
      </w:pPr>
      <w:rPr>
        <w:rFonts w:ascii="Courier New" w:hAnsi="Courier New" w:hint="default"/>
      </w:rPr>
    </w:lvl>
    <w:lvl w:ilvl="2" w:tplc="DC20712C">
      <w:start w:val="1"/>
      <w:numFmt w:val="bullet"/>
      <w:lvlText w:val=""/>
      <w:lvlJc w:val="left"/>
      <w:pPr>
        <w:ind w:left="2160" w:hanging="360"/>
      </w:pPr>
      <w:rPr>
        <w:rFonts w:ascii="Wingdings" w:hAnsi="Wingdings" w:hint="default"/>
      </w:rPr>
    </w:lvl>
    <w:lvl w:ilvl="3" w:tplc="10C6D166">
      <w:start w:val="1"/>
      <w:numFmt w:val="bullet"/>
      <w:lvlText w:val=""/>
      <w:lvlJc w:val="left"/>
      <w:pPr>
        <w:ind w:left="2880" w:hanging="360"/>
      </w:pPr>
      <w:rPr>
        <w:rFonts w:ascii="Symbol" w:hAnsi="Symbol" w:hint="default"/>
      </w:rPr>
    </w:lvl>
    <w:lvl w:ilvl="4" w:tplc="AEB25B7E">
      <w:start w:val="1"/>
      <w:numFmt w:val="bullet"/>
      <w:lvlText w:val="o"/>
      <w:lvlJc w:val="left"/>
      <w:pPr>
        <w:ind w:left="3600" w:hanging="360"/>
      </w:pPr>
      <w:rPr>
        <w:rFonts w:ascii="Courier New" w:hAnsi="Courier New" w:hint="default"/>
      </w:rPr>
    </w:lvl>
    <w:lvl w:ilvl="5" w:tplc="51CEE55C">
      <w:start w:val="1"/>
      <w:numFmt w:val="bullet"/>
      <w:lvlText w:val=""/>
      <w:lvlJc w:val="left"/>
      <w:pPr>
        <w:ind w:left="4320" w:hanging="360"/>
      </w:pPr>
      <w:rPr>
        <w:rFonts w:ascii="Wingdings" w:hAnsi="Wingdings" w:hint="default"/>
      </w:rPr>
    </w:lvl>
    <w:lvl w:ilvl="6" w:tplc="A60CA322">
      <w:start w:val="1"/>
      <w:numFmt w:val="bullet"/>
      <w:lvlText w:val=""/>
      <w:lvlJc w:val="left"/>
      <w:pPr>
        <w:ind w:left="5040" w:hanging="360"/>
      </w:pPr>
      <w:rPr>
        <w:rFonts w:ascii="Symbol" w:hAnsi="Symbol" w:hint="default"/>
      </w:rPr>
    </w:lvl>
    <w:lvl w:ilvl="7" w:tplc="C71AD238">
      <w:start w:val="1"/>
      <w:numFmt w:val="bullet"/>
      <w:lvlText w:val="o"/>
      <w:lvlJc w:val="left"/>
      <w:pPr>
        <w:ind w:left="5760" w:hanging="360"/>
      </w:pPr>
      <w:rPr>
        <w:rFonts w:ascii="Courier New" w:hAnsi="Courier New" w:hint="default"/>
      </w:rPr>
    </w:lvl>
    <w:lvl w:ilvl="8" w:tplc="333CEE84">
      <w:start w:val="1"/>
      <w:numFmt w:val="bullet"/>
      <w:lvlText w:val=""/>
      <w:lvlJc w:val="left"/>
      <w:pPr>
        <w:ind w:left="6480" w:hanging="360"/>
      </w:pPr>
      <w:rPr>
        <w:rFonts w:ascii="Wingdings" w:hAnsi="Wingdings" w:hint="default"/>
      </w:rPr>
    </w:lvl>
  </w:abstractNum>
  <w:abstractNum w:abstractNumId="15" w15:restartNumberingAfterBreak="0">
    <w:nsid w:val="295D2043"/>
    <w:multiLevelType w:val="multilevel"/>
    <w:tmpl w:val="488451DE"/>
    <w:lvl w:ilvl="0">
      <w:start w:val="1"/>
      <w:numFmt w:val="decimal"/>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867D99"/>
    <w:multiLevelType w:val="hybridMultilevel"/>
    <w:tmpl w:val="FFFFFFFF"/>
    <w:lvl w:ilvl="0" w:tplc="0CB28DA4">
      <w:start w:val="1"/>
      <w:numFmt w:val="bullet"/>
      <w:lvlText w:val=""/>
      <w:lvlJc w:val="left"/>
      <w:pPr>
        <w:ind w:left="720" w:hanging="360"/>
      </w:pPr>
      <w:rPr>
        <w:rFonts w:ascii="Symbol" w:hAnsi="Symbol" w:hint="default"/>
      </w:rPr>
    </w:lvl>
    <w:lvl w:ilvl="1" w:tplc="7428C4E6">
      <w:start w:val="1"/>
      <w:numFmt w:val="bullet"/>
      <w:lvlText w:val="o"/>
      <w:lvlJc w:val="left"/>
      <w:pPr>
        <w:ind w:left="1440" w:hanging="360"/>
      </w:pPr>
      <w:rPr>
        <w:rFonts w:ascii="Courier New" w:hAnsi="Courier New" w:hint="default"/>
      </w:rPr>
    </w:lvl>
    <w:lvl w:ilvl="2" w:tplc="65A25836">
      <w:start w:val="1"/>
      <w:numFmt w:val="bullet"/>
      <w:lvlText w:val=""/>
      <w:lvlJc w:val="left"/>
      <w:pPr>
        <w:ind w:left="2160" w:hanging="360"/>
      </w:pPr>
      <w:rPr>
        <w:rFonts w:ascii="Wingdings" w:hAnsi="Wingdings" w:hint="default"/>
      </w:rPr>
    </w:lvl>
    <w:lvl w:ilvl="3" w:tplc="82F68CDE">
      <w:start w:val="1"/>
      <w:numFmt w:val="bullet"/>
      <w:lvlText w:val=""/>
      <w:lvlJc w:val="left"/>
      <w:pPr>
        <w:ind w:left="2880" w:hanging="360"/>
      </w:pPr>
      <w:rPr>
        <w:rFonts w:ascii="Symbol" w:hAnsi="Symbol" w:hint="default"/>
      </w:rPr>
    </w:lvl>
    <w:lvl w:ilvl="4" w:tplc="B570220C">
      <w:start w:val="1"/>
      <w:numFmt w:val="bullet"/>
      <w:lvlText w:val="o"/>
      <w:lvlJc w:val="left"/>
      <w:pPr>
        <w:ind w:left="3600" w:hanging="360"/>
      </w:pPr>
      <w:rPr>
        <w:rFonts w:ascii="Courier New" w:hAnsi="Courier New" w:hint="default"/>
      </w:rPr>
    </w:lvl>
    <w:lvl w:ilvl="5" w:tplc="6CE40858">
      <w:start w:val="1"/>
      <w:numFmt w:val="bullet"/>
      <w:lvlText w:val=""/>
      <w:lvlJc w:val="left"/>
      <w:pPr>
        <w:ind w:left="4320" w:hanging="360"/>
      </w:pPr>
      <w:rPr>
        <w:rFonts w:ascii="Wingdings" w:hAnsi="Wingdings" w:hint="default"/>
      </w:rPr>
    </w:lvl>
    <w:lvl w:ilvl="6" w:tplc="522A7668">
      <w:start w:val="1"/>
      <w:numFmt w:val="bullet"/>
      <w:lvlText w:val=""/>
      <w:lvlJc w:val="left"/>
      <w:pPr>
        <w:ind w:left="5040" w:hanging="360"/>
      </w:pPr>
      <w:rPr>
        <w:rFonts w:ascii="Symbol" w:hAnsi="Symbol" w:hint="default"/>
      </w:rPr>
    </w:lvl>
    <w:lvl w:ilvl="7" w:tplc="D7C057D0">
      <w:start w:val="1"/>
      <w:numFmt w:val="bullet"/>
      <w:lvlText w:val="o"/>
      <w:lvlJc w:val="left"/>
      <w:pPr>
        <w:ind w:left="5760" w:hanging="360"/>
      </w:pPr>
      <w:rPr>
        <w:rFonts w:ascii="Courier New" w:hAnsi="Courier New" w:hint="default"/>
      </w:rPr>
    </w:lvl>
    <w:lvl w:ilvl="8" w:tplc="4628CD80">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FD7BDA0"/>
    <w:multiLevelType w:val="hybridMultilevel"/>
    <w:tmpl w:val="FFFFFFFF"/>
    <w:lvl w:ilvl="0" w:tplc="D0CE208A">
      <w:start w:val="1"/>
      <w:numFmt w:val="bullet"/>
      <w:lvlText w:val=""/>
      <w:lvlJc w:val="left"/>
      <w:pPr>
        <w:ind w:left="720" w:hanging="360"/>
      </w:pPr>
      <w:rPr>
        <w:rFonts w:ascii="Symbol" w:hAnsi="Symbol" w:hint="default"/>
      </w:rPr>
    </w:lvl>
    <w:lvl w:ilvl="1" w:tplc="AFEA4FBC">
      <w:start w:val="6"/>
      <w:numFmt w:val="bullet"/>
      <w:lvlText w:val="-"/>
      <w:lvlJc w:val="left"/>
      <w:pPr>
        <w:ind w:left="1440" w:hanging="360"/>
      </w:pPr>
      <w:rPr>
        <w:rFonts w:ascii="Times New Roman" w:hAnsi="Times New Roman" w:hint="default"/>
      </w:rPr>
    </w:lvl>
    <w:lvl w:ilvl="2" w:tplc="5C826E16">
      <w:start w:val="1"/>
      <w:numFmt w:val="bullet"/>
      <w:lvlText w:val=""/>
      <w:lvlJc w:val="left"/>
      <w:pPr>
        <w:ind w:left="2160" w:hanging="360"/>
      </w:pPr>
      <w:rPr>
        <w:rFonts w:ascii="Wingdings" w:hAnsi="Wingdings" w:hint="default"/>
      </w:rPr>
    </w:lvl>
    <w:lvl w:ilvl="3" w:tplc="A14452E4">
      <w:start w:val="1"/>
      <w:numFmt w:val="bullet"/>
      <w:lvlText w:val=""/>
      <w:lvlJc w:val="left"/>
      <w:pPr>
        <w:ind w:left="2880" w:hanging="360"/>
      </w:pPr>
      <w:rPr>
        <w:rFonts w:ascii="Symbol" w:hAnsi="Symbol" w:hint="default"/>
      </w:rPr>
    </w:lvl>
    <w:lvl w:ilvl="4" w:tplc="5A62D0B2">
      <w:start w:val="1"/>
      <w:numFmt w:val="bullet"/>
      <w:lvlText w:val="o"/>
      <w:lvlJc w:val="left"/>
      <w:pPr>
        <w:ind w:left="3600" w:hanging="360"/>
      </w:pPr>
      <w:rPr>
        <w:rFonts w:ascii="Courier New" w:hAnsi="Courier New" w:hint="default"/>
      </w:rPr>
    </w:lvl>
    <w:lvl w:ilvl="5" w:tplc="B6AC59D4">
      <w:start w:val="1"/>
      <w:numFmt w:val="bullet"/>
      <w:lvlText w:val=""/>
      <w:lvlJc w:val="left"/>
      <w:pPr>
        <w:ind w:left="4320" w:hanging="360"/>
      </w:pPr>
      <w:rPr>
        <w:rFonts w:ascii="Wingdings" w:hAnsi="Wingdings" w:hint="default"/>
      </w:rPr>
    </w:lvl>
    <w:lvl w:ilvl="6" w:tplc="9078C386">
      <w:start w:val="1"/>
      <w:numFmt w:val="bullet"/>
      <w:lvlText w:val=""/>
      <w:lvlJc w:val="left"/>
      <w:pPr>
        <w:ind w:left="5040" w:hanging="360"/>
      </w:pPr>
      <w:rPr>
        <w:rFonts w:ascii="Symbol" w:hAnsi="Symbol" w:hint="default"/>
      </w:rPr>
    </w:lvl>
    <w:lvl w:ilvl="7" w:tplc="63A42216">
      <w:start w:val="1"/>
      <w:numFmt w:val="bullet"/>
      <w:lvlText w:val="o"/>
      <w:lvlJc w:val="left"/>
      <w:pPr>
        <w:ind w:left="5760" w:hanging="360"/>
      </w:pPr>
      <w:rPr>
        <w:rFonts w:ascii="Courier New" w:hAnsi="Courier New" w:hint="default"/>
      </w:rPr>
    </w:lvl>
    <w:lvl w:ilvl="8" w:tplc="1804BBBC">
      <w:start w:val="1"/>
      <w:numFmt w:val="bullet"/>
      <w:lvlText w:val=""/>
      <w:lvlJc w:val="left"/>
      <w:pPr>
        <w:ind w:left="6480" w:hanging="360"/>
      </w:pPr>
      <w:rPr>
        <w:rFonts w:ascii="Wingdings" w:hAnsi="Wingdings" w:hint="default"/>
      </w:rPr>
    </w:lvl>
  </w:abstractNum>
  <w:abstractNum w:abstractNumId="20" w15:restartNumberingAfterBreak="0">
    <w:nsid w:val="42A90431"/>
    <w:multiLevelType w:val="multilevel"/>
    <w:tmpl w:val="DEAE4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3093B15"/>
    <w:multiLevelType w:val="hybridMultilevel"/>
    <w:tmpl w:val="90849618"/>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E807832"/>
    <w:multiLevelType w:val="multilevel"/>
    <w:tmpl w:val="EC668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209C8"/>
    <w:multiLevelType w:val="hybridMultilevel"/>
    <w:tmpl w:val="FFFFFFFF"/>
    <w:lvl w:ilvl="0" w:tplc="517A1622">
      <w:start w:val="1"/>
      <w:numFmt w:val="bullet"/>
      <w:lvlText w:val=""/>
      <w:lvlJc w:val="left"/>
      <w:pPr>
        <w:ind w:left="720" w:hanging="360"/>
      </w:pPr>
      <w:rPr>
        <w:rFonts w:ascii="Symbol" w:hAnsi="Symbol" w:hint="default"/>
      </w:rPr>
    </w:lvl>
    <w:lvl w:ilvl="1" w:tplc="7354FAF0">
      <w:start w:val="1"/>
      <w:numFmt w:val="bullet"/>
      <w:lvlText w:val="o"/>
      <w:lvlJc w:val="left"/>
      <w:pPr>
        <w:ind w:left="1440" w:hanging="360"/>
      </w:pPr>
      <w:rPr>
        <w:rFonts w:ascii="Courier New" w:hAnsi="Courier New" w:hint="default"/>
      </w:rPr>
    </w:lvl>
    <w:lvl w:ilvl="2" w:tplc="714617A6">
      <w:start w:val="1"/>
      <w:numFmt w:val="bullet"/>
      <w:lvlText w:val=""/>
      <w:lvlJc w:val="left"/>
      <w:pPr>
        <w:ind w:left="2160" w:hanging="360"/>
      </w:pPr>
      <w:rPr>
        <w:rFonts w:ascii="Wingdings" w:hAnsi="Wingdings" w:hint="default"/>
      </w:rPr>
    </w:lvl>
    <w:lvl w:ilvl="3" w:tplc="B50AEB26">
      <w:start w:val="1"/>
      <w:numFmt w:val="bullet"/>
      <w:lvlText w:val=""/>
      <w:lvlJc w:val="left"/>
      <w:pPr>
        <w:ind w:left="2880" w:hanging="360"/>
      </w:pPr>
      <w:rPr>
        <w:rFonts w:ascii="Symbol" w:hAnsi="Symbol" w:hint="default"/>
      </w:rPr>
    </w:lvl>
    <w:lvl w:ilvl="4" w:tplc="C798B49E">
      <w:start w:val="1"/>
      <w:numFmt w:val="bullet"/>
      <w:lvlText w:val="o"/>
      <w:lvlJc w:val="left"/>
      <w:pPr>
        <w:ind w:left="3600" w:hanging="360"/>
      </w:pPr>
      <w:rPr>
        <w:rFonts w:ascii="Courier New" w:hAnsi="Courier New" w:hint="default"/>
      </w:rPr>
    </w:lvl>
    <w:lvl w:ilvl="5" w:tplc="90E6347A">
      <w:start w:val="1"/>
      <w:numFmt w:val="bullet"/>
      <w:lvlText w:val=""/>
      <w:lvlJc w:val="left"/>
      <w:pPr>
        <w:ind w:left="4320" w:hanging="360"/>
      </w:pPr>
      <w:rPr>
        <w:rFonts w:ascii="Wingdings" w:hAnsi="Wingdings" w:hint="default"/>
      </w:rPr>
    </w:lvl>
    <w:lvl w:ilvl="6" w:tplc="9E26AABC">
      <w:start w:val="1"/>
      <w:numFmt w:val="bullet"/>
      <w:lvlText w:val=""/>
      <w:lvlJc w:val="left"/>
      <w:pPr>
        <w:ind w:left="5040" w:hanging="360"/>
      </w:pPr>
      <w:rPr>
        <w:rFonts w:ascii="Symbol" w:hAnsi="Symbol" w:hint="default"/>
      </w:rPr>
    </w:lvl>
    <w:lvl w:ilvl="7" w:tplc="7DCC96E2">
      <w:start w:val="1"/>
      <w:numFmt w:val="bullet"/>
      <w:lvlText w:val="o"/>
      <w:lvlJc w:val="left"/>
      <w:pPr>
        <w:ind w:left="5760" w:hanging="360"/>
      </w:pPr>
      <w:rPr>
        <w:rFonts w:ascii="Courier New" w:hAnsi="Courier New" w:hint="default"/>
      </w:rPr>
    </w:lvl>
    <w:lvl w:ilvl="8" w:tplc="FC8AFF82">
      <w:start w:val="1"/>
      <w:numFmt w:val="bullet"/>
      <w:lvlText w:val=""/>
      <w:lvlJc w:val="left"/>
      <w:pPr>
        <w:ind w:left="6480" w:hanging="360"/>
      </w:pPr>
      <w:rPr>
        <w:rFonts w:ascii="Wingdings" w:hAnsi="Wingdings" w:hint="default"/>
      </w:rPr>
    </w:lvl>
  </w:abstractNum>
  <w:abstractNum w:abstractNumId="27"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078269">
    <w:abstractNumId w:val="16"/>
  </w:num>
  <w:num w:numId="2" w16cid:durableId="237639066">
    <w:abstractNumId w:val="19"/>
  </w:num>
  <w:num w:numId="3" w16cid:durableId="1954166412">
    <w:abstractNumId w:val="14"/>
  </w:num>
  <w:num w:numId="4" w16cid:durableId="1493181851">
    <w:abstractNumId w:val="13"/>
  </w:num>
  <w:num w:numId="5" w16cid:durableId="1959339450">
    <w:abstractNumId w:val="26"/>
  </w:num>
  <w:num w:numId="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89253310">
    <w:abstractNumId w:val="11"/>
  </w:num>
  <w:num w:numId="9" w16cid:durableId="199124208">
    <w:abstractNumId w:val="18"/>
  </w:num>
  <w:num w:numId="10" w16cid:durableId="630793192">
    <w:abstractNumId w:val="17"/>
  </w:num>
  <w:num w:numId="11" w16cid:durableId="1154301696">
    <w:abstractNumId w:val="21"/>
  </w:num>
  <w:num w:numId="12" w16cid:durableId="1489399165">
    <w:abstractNumId w:val="22"/>
  </w:num>
  <w:num w:numId="13" w16cid:durableId="1495876256">
    <w:abstractNumId w:val="9"/>
  </w:num>
  <w:num w:numId="14" w16cid:durableId="441074845">
    <w:abstractNumId w:val="7"/>
  </w:num>
  <w:num w:numId="15" w16cid:durableId="431705991">
    <w:abstractNumId w:val="6"/>
  </w:num>
  <w:num w:numId="16" w16cid:durableId="1559823138">
    <w:abstractNumId w:val="5"/>
  </w:num>
  <w:num w:numId="17" w16cid:durableId="1777091386">
    <w:abstractNumId w:val="4"/>
  </w:num>
  <w:num w:numId="18" w16cid:durableId="754859990">
    <w:abstractNumId w:val="8"/>
  </w:num>
  <w:num w:numId="19" w16cid:durableId="685982631">
    <w:abstractNumId w:val="3"/>
  </w:num>
  <w:num w:numId="20" w16cid:durableId="1806268356">
    <w:abstractNumId w:val="2"/>
  </w:num>
  <w:num w:numId="21" w16cid:durableId="1176116058">
    <w:abstractNumId w:val="1"/>
  </w:num>
  <w:num w:numId="22" w16cid:durableId="655106882">
    <w:abstractNumId w:val="0"/>
  </w:num>
  <w:num w:numId="23" w16cid:durableId="121196298">
    <w:abstractNumId w:val="27"/>
  </w:num>
  <w:num w:numId="24" w16cid:durableId="1757551549">
    <w:abstractNumId w:val="12"/>
  </w:num>
  <w:num w:numId="25" w16cid:durableId="1848521819">
    <w:abstractNumId w:val="15"/>
  </w:num>
  <w:num w:numId="26" w16cid:durableId="307126995">
    <w:abstractNumId w:val="24"/>
  </w:num>
  <w:num w:numId="27" w16cid:durableId="690881354">
    <w:abstractNumId w:val="20"/>
  </w:num>
  <w:num w:numId="28" w16cid:durableId="2060129097">
    <w:abstractNumId w:val="25"/>
  </w:num>
  <w:num w:numId="29" w16cid:durableId="7492302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313"/>
    <w:rsid w:val="00006C10"/>
    <w:rsid w:val="000136AE"/>
    <w:rsid w:val="00016557"/>
    <w:rsid w:val="00023C40"/>
    <w:rsid w:val="0002469C"/>
    <w:rsid w:val="0002507D"/>
    <w:rsid w:val="000251A0"/>
    <w:rsid w:val="00033397"/>
    <w:rsid w:val="00037298"/>
    <w:rsid w:val="00040095"/>
    <w:rsid w:val="0004010E"/>
    <w:rsid w:val="00041869"/>
    <w:rsid w:val="00046D17"/>
    <w:rsid w:val="00050EEC"/>
    <w:rsid w:val="00065268"/>
    <w:rsid w:val="00066ECF"/>
    <w:rsid w:val="00072B7A"/>
    <w:rsid w:val="00073C9C"/>
    <w:rsid w:val="00076412"/>
    <w:rsid w:val="00080512"/>
    <w:rsid w:val="00090468"/>
    <w:rsid w:val="00094568"/>
    <w:rsid w:val="0009501F"/>
    <w:rsid w:val="000A1676"/>
    <w:rsid w:val="000B2542"/>
    <w:rsid w:val="000B66A2"/>
    <w:rsid w:val="000B7BCF"/>
    <w:rsid w:val="000C522B"/>
    <w:rsid w:val="000D3DFC"/>
    <w:rsid w:val="000D58AB"/>
    <w:rsid w:val="000E2CF4"/>
    <w:rsid w:val="000E7BBF"/>
    <w:rsid w:val="000F2599"/>
    <w:rsid w:val="000F5A0B"/>
    <w:rsid w:val="00101D18"/>
    <w:rsid w:val="00106504"/>
    <w:rsid w:val="00112F1A"/>
    <w:rsid w:val="0012045E"/>
    <w:rsid w:val="00121E5C"/>
    <w:rsid w:val="0012610D"/>
    <w:rsid w:val="00137F34"/>
    <w:rsid w:val="00145075"/>
    <w:rsid w:val="00161733"/>
    <w:rsid w:val="00164A40"/>
    <w:rsid w:val="001741A0"/>
    <w:rsid w:val="00175FA0"/>
    <w:rsid w:val="001819B9"/>
    <w:rsid w:val="00183A74"/>
    <w:rsid w:val="0018542A"/>
    <w:rsid w:val="00185797"/>
    <w:rsid w:val="00194CD0"/>
    <w:rsid w:val="001B311B"/>
    <w:rsid w:val="001B49C9"/>
    <w:rsid w:val="001C23F4"/>
    <w:rsid w:val="001C4F79"/>
    <w:rsid w:val="001D0F21"/>
    <w:rsid w:val="001E26BC"/>
    <w:rsid w:val="001E401B"/>
    <w:rsid w:val="001F168B"/>
    <w:rsid w:val="001F4A4F"/>
    <w:rsid w:val="001F7831"/>
    <w:rsid w:val="00204045"/>
    <w:rsid w:val="002046B4"/>
    <w:rsid w:val="0020712B"/>
    <w:rsid w:val="0021459B"/>
    <w:rsid w:val="00217009"/>
    <w:rsid w:val="0022606D"/>
    <w:rsid w:val="00231728"/>
    <w:rsid w:val="002368FD"/>
    <w:rsid w:val="00236CAB"/>
    <w:rsid w:val="00244A05"/>
    <w:rsid w:val="00246FDA"/>
    <w:rsid w:val="00250404"/>
    <w:rsid w:val="00256B74"/>
    <w:rsid w:val="00260E9A"/>
    <w:rsid w:val="002610D8"/>
    <w:rsid w:val="0026263B"/>
    <w:rsid w:val="002640E7"/>
    <w:rsid w:val="00267B6E"/>
    <w:rsid w:val="00271527"/>
    <w:rsid w:val="002747EC"/>
    <w:rsid w:val="002846BD"/>
    <w:rsid w:val="002855BF"/>
    <w:rsid w:val="00290A7C"/>
    <w:rsid w:val="002B2988"/>
    <w:rsid w:val="002B4114"/>
    <w:rsid w:val="002C58E5"/>
    <w:rsid w:val="002D356E"/>
    <w:rsid w:val="002D3677"/>
    <w:rsid w:val="002F0D22"/>
    <w:rsid w:val="002F63EE"/>
    <w:rsid w:val="0030628A"/>
    <w:rsid w:val="00311B17"/>
    <w:rsid w:val="003172DC"/>
    <w:rsid w:val="00324B3A"/>
    <w:rsid w:val="00325AE3"/>
    <w:rsid w:val="00326069"/>
    <w:rsid w:val="003273B6"/>
    <w:rsid w:val="00345C63"/>
    <w:rsid w:val="0035462D"/>
    <w:rsid w:val="00357B05"/>
    <w:rsid w:val="003626E8"/>
    <w:rsid w:val="0036459E"/>
    <w:rsid w:val="00364B41"/>
    <w:rsid w:val="003823DD"/>
    <w:rsid w:val="00383096"/>
    <w:rsid w:val="0039346C"/>
    <w:rsid w:val="0039699A"/>
    <w:rsid w:val="00397A01"/>
    <w:rsid w:val="003A41EF"/>
    <w:rsid w:val="003A4ED8"/>
    <w:rsid w:val="003A5ED0"/>
    <w:rsid w:val="003B31FD"/>
    <w:rsid w:val="003B40AD"/>
    <w:rsid w:val="003B4EE0"/>
    <w:rsid w:val="003B6AE4"/>
    <w:rsid w:val="003C4E37"/>
    <w:rsid w:val="003C7800"/>
    <w:rsid w:val="003D0FD0"/>
    <w:rsid w:val="003D6B42"/>
    <w:rsid w:val="003E16BE"/>
    <w:rsid w:val="003F4E28"/>
    <w:rsid w:val="003F76B6"/>
    <w:rsid w:val="004006E8"/>
    <w:rsid w:val="00401855"/>
    <w:rsid w:val="004070A8"/>
    <w:rsid w:val="0041240D"/>
    <w:rsid w:val="0042733F"/>
    <w:rsid w:val="004417AC"/>
    <w:rsid w:val="00445743"/>
    <w:rsid w:val="00446C3A"/>
    <w:rsid w:val="00463801"/>
    <w:rsid w:val="00465587"/>
    <w:rsid w:val="004717D0"/>
    <w:rsid w:val="00472462"/>
    <w:rsid w:val="00477455"/>
    <w:rsid w:val="0049161F"/>
    <w:rsid w:val="00493575"/>
    <w:rsid w:val="004A1F7B"/>
    <w:rsid w:val="004C1884"/>
    <w:rsid w:val="004C2442"/>
    <w:rsid w:val="004C3157"/>
    <w:rsid w:val="004C44D2"/>
    <w:rsid w:val="004D3578"/>
    <w:rsid w:val="004D380D"/>
    <w:rsid w:val="004D3D78"/>
    <w:rsid w:val="004D71DE"/>
    <w:rsid w:val="004E213A"/>
    <w:rsid w:val="004E3089"/>
    <w:rsid w:val="004E7553"/>
    <w:rsid w:val="004F4540"/>
    <w:rsid w:val="004F5BAD"/>
    <w:rsid w:val="004F73A7"/>
    <w:rsid w:val="00503171"/>
    <w:rsid w:val="00506C28"/>
    <w:rsid w:val="00507E10"/>
    <w:rsid w:val="005157BD"/>
    <w:rsid w:val="00524548"/>
    <w:rsid w:val="005328B9"/>
    <w:rsid w:val="00534DA0"/>
    <w:rsid w:val="00537809"/>
    <w:rsid w:val="00543269"/>
    <w:rsid w:val="005432D9"/>
    <w:rsid w:val="00543E6C"/>
    <w:rsid w:val="005477D6"/>
    <w:rsid w:val="0055255B"/>
    <w:rsid w:val="005530B1"/>
    <w:rsid w:val="00565087"/>
    <w:rsid w:val="0056573F"/>
    <w:rsid w:val="005664CC"/>
    <w:rsid w:val="00571279"/>
    <w:rsid w:val="00573250"/>
    <w:rsid w:val="00575FC5"/>
    <w:rsid w:val="005854B3"/>
    <w:rsid w:val="005A13AB"/>
    <w:rsid w:val="005A3D61"/>
    <w:rsid w:val="005A49C6"/>
    <w:rsid w:val="005A6442"/>
    <w:rsid w:val="005A690A"/>
    <w:rsid w:val="005B4C8B"/>
    <w:rsid w:val="005B74AE"/>
    <w:rsid w:val="005C25D4"/>
    <w:rsid w:val="005C766E"/>
    <w:rsid w:val="005C7CD5"/>
    <w:rsid w:val="005D000D"/>
    <w:rsid w:val="005E35BD"/>
    <w:rsid w:val="00611566"/>
    <w:rsid w:val="0062540B"/>
    <w:rsid w:val="00631D50"/>
    <w:rsid w:val="00641F54"/>
    <w:rsid w:val="006420F3"/>
    <w:rsid w:val="00646D99"/>
    <w:rsid w:val="0065376F"/>
    <w:rsid w:val="00656910"/>
    <w:rsid w:val="006574C0"/>
    <w:rsid w:val="006614C5"/>
    <w:rsid w:val="00670285"/>
    <w:rsid w:val="00670B9D"/>
    <w:rsid w:val="0067255F"/>
    <w:rsid w:val="0067312A"/>
    <w:rsid w:val="00673E7E"/>
    <w:rsid w:val="00685C04"/>
    <w:rsid w:val="006922B2"/>
    <w:rsid w:val="00696821"/>
    <w:rsid w:val="006A11A6"/>
    <w:rsid w:val="006B380E"/>
    <w:rsid w:val="006B73EB"/>
    <w:rsid w:val="006B771C"/>
    <w:rsid w:val="006B7794"/>
    <w:rsid w:val="006C66D8"/>
    <w:rsid w:val="006D1CA5"/>
    <w:rsid w:val="006D1E24"/>
    <w:rsid w:val="006D35DE"/>
    <w:rsid w:val="006D5D41"/>
    <w:rsid w:val="006D7DB7"/>
    <w:rsid w:val="006E1057"/>
    <w:rsid w:val="006E1417"/>
    <w:rsid w:val="006E3116"/>
    <w:rsid w:val="006E60C8"/>
    <w:rsid w:val="006F6A2C"/>
    <w:rsid w:val="007069DC"/>
    <w:rsid w:val="0070730E"/>
    <w:rsid w:val="00710201"/>
    <w:rsid w:val="00711F9D"/>
    <w:rsid w:val="0072073A"/>
    <w:rsid w:val="00723B23"/>
    <w:rsid w:val="00733D07"/>
    <w:rsid w:val="007342B5"/>
    <w:rsid w:val="00734A5B"/>
    <w:rsid w:val="00743029"/>
    <w:rsid w:val="00744E76"/>
    <w:rsid w:val="00755E97"/>
    <w:rsid w:val="00757CDE"/>
    <w:rsid w:val="00757D40"/>
    <w:rsid w:val="00765838"/>
    <w:rsid w:val="007662B5"/>
    <w:rsid w:val="00781F0F"/>
    <w:rsid w:val="007829F5"/>
    <w:rsid w:val="00784609"/>
    <w:rsid w:val="0078727C"/>
    <w:rsid w:val="0079049D"/>
    <w:rsid w:val="00793215"/>
    <w:rsid w:val="00793DC5"/>
    <w:rsid w:val="00796823"/>
    <w:rsid w:val="007A2E55"/>
    <w:rsid w:val="007B18D8"/>
    <w:rsid w:val="007C095F"/>
    <w:rsid w:val="007C2DD0"/>
    <w:rsid w:val="007F2E08"/>
    <w:rsid w:val="008024FA"/>
    <w:rsid w:val="008028A4"/>
    <w:rsid w:val="008035BE"/>
    <w:rsid w:val="00813027"/>
    <w:rsid w:val="0081317B"/>
    <w:rsid w:val="00813245"/>
    <w:rsid w:val="008205F3"/>
    <w:rsid w:val="008256EE"/>
    <w:rsid w:val="00826FE9"/>
    <w:rsid w:val="008367A7"/>
    <w:rsid w:val="00840DE0"/>
    <w:rsid w:val="00847CD0"/>
    <w:rsid w:val="00856772"/>
    <w:rsid w:val="00857F7A"/>
    <w:rsid w:val="008607A8"/>
    <w:rsid w:val="00862DE1"/>
    <w:rsid w:val="0086354A"/>
    <w:rsid w:val="00863A79"/>
    <w:rsid w:val="008768CA"/>
    <w:rsid w:val="00877EF9"/>
    <w:rsid w:val="00880559"/>
    <w:rsid w:val="00880A73"/>
    <w:rsid w:val="008874DE"/>
    <w:rsid w:val="008963D5"/>
    <w:rsid w:val="008B4162"/>
    <w:rsid w:val="008B5306"/>
    <w:rsid w:val="008B54E8"/>
    <w:rsid w:val="008C2E2A"/>
    <w:rsid w:val="008C3057"/>
    <w:rsid w:val="008D2E4D"/>
    <w:rsid w:val="008E713E"/>
    <w:rsid w:val="008F0095"/>
    <w:rsid w:val="008F0BEC"/>
    <w:rsid w:val="008F396F"/>
    <w:rsid w:val="008F3DCD"/>
    <w:rsid w:val="0090271F"/>
    <w:rsid w:val="00902DB9"/>
    <w:rsid w:val="0090466A"/>
    <w:rsid w:val="00904DEB"/>
    <w:rsid w:val="00905E5A"/>
    <w:rsid w:val="00923655"/>
    <w:rsid w:val="009248C6"/>
    <w:rsid w:val="00932280"/>
    <w:rsid w:val="009339CB"/>
    <w:rsid w:val="0093405B"/>
    <w:rsid w:val="00936071"/>
    <w:rsid w:val="009376CD"/>
    <w:rsid w:val="00940212"/>
    <w:rsid w:val="00942752"/>
    <w:rsid w:val="00942EC2"/>
    <w:rsid w:val="0094463A"/>
    <w:rsid w:val="00960846"/>
    <w:rsid w:val="00961B32"/>
    <w:rsid w:val="00962509"/>
    <w:rsid w:val="009649BD"/>
    <w:rsid w:val="00970DB3"/>
    <w:rsid w:val="00974401"/>
    <w:rsid w:val="00974BB0"/>
    <w:rsid w:val="00975BCD"/>
    <w:rsid w:val="009818A2"/>
    <w:rsid w:val="00985CF2"/>
    <w:rsid w:val="009864F0"/>
    <w:rsid w:val="009928A9"/>
    <w:rsid w:val="009965F4"/>
    <w:rsid w:val="00997717"/>
    <w:rsid w:val="009A0AF3"/>
    <w:rsid w:val="009B07CD"/>
    <w:rsid w:val="009B5EF8"/>
    <w:rsid w:val="009C19E9"/>
    <w:rsid w:val="009D1B8C"/>
    <w:rsid w:val="009D74A6"/>
    <w:rsid w:val="009E0253"/>
    <w:rsid w:val="009E0E87"/>
    <w:rsid w:val="009F5315"/>
    <w:rsid w:val="009F5409"/>
    <w:rsid w:val="00A05366"/>
    <w:rsid w:val="00A10F02"/>
    <w:rsid w:val="00A12805"/>
    <w:rsid w:val="00A15F45"/>
    <w:rsid w:val="00A16A1D"/>
    <w:rsid w:val="00A17176"/>
    <w:rsid w:val="00A204CA"/>
    <w:rsid w:val="00A209D6"/>
    <w:rsid w:val="00A22738"/>
    <w:rsid w:val="00A25077"/>
    <w:rsid w:val="00A26CAD"/>
    <w:rsid w:val="00A30156"/>
    <w:rsid w:val="00A31113"/>
    <w:rsid w:val="00A320DA"/>
    <w:rsid w:val="00A332A6"/>
    <w:rsid w:val="00A36F5F"/>
    <w:rsid w:val="00A430EC"/>
    <w:rsid w:val="00A44C87"/>
    <w:rsid w:val="00A45700"/>
    <w:rsid w:val="00A53724"/>
    <w:rsid w:val="00A54B2B"/>
    <w:rsid w:val="00A612D8"/>
    <w:rsid w:val="00A703B6"/>
    <w:rsid w:val="00A759D0"/>
    <w:rsid w:val="00A82346"/>
    <w:rsid w:val="00A82403"/>
    <w:rsid w:val="00A831FB"/>
    <w:rsid w:val="00A84A71"/>
    <w:rsid w:val="00A8708E"/>
    <w:rsid w:val="00A908D2"/>
    <w:rsid w:val="00A9671C"/>
    <w:rsid w:val="00A97E7F"/>
    <w:rsid w:val="00AA1553"/>
    <w:rsid w:val="00AB553E"/>
    <w:rsid w:val="00AD1DBF"/>
    <w:rsid w:val="00AD7E7C"/>
    <w:rsid w:val="00AF1EAE"/>
    <w:rsid w:val="00B01768"/>
    <w:rsid w:val="00B01A03"/>
    <w:rsid w:val="00B04825"/>
    <w:rsid w:val="00B05380"/>
    <w:rsid w:val="00B05962"/>
    <w:rsid w:val="00B10038"/>
    <w:rsid w:val="00B15449"/>
    <w:rsid w:val="00B16C2F"/>
    <w:rsid w:val="00B26324"/>
    <w:rsid w:val="00B27303"/>
    <w:rsid w:val="00B34C7F"/>
    <w:rsid w:val="00B42E53"/>
    <w:rsid w:val="00B44071"/>
    <w:rsid w:val="00B47FD1"/>
    <w:rsid w:val="00B516BB"/>
    <w:rsid w:val="00B55A1A"/>
    <w:rsid w:val="00B5751D"/>
    <w:rsid w:val="00B60B4B"/>
    <w:rsid w:val="00B62504"/>
    <w:rsid w:val="00B669E9"/>
    <w:rsid w:val="00B741CA"/>
    <w:rsid w:val="00B7538C"/>
    <w:rsid w:val="00B84DB2"/>
    <w:rsid w:val="00BA0095"/>
    <w:rsid w:val="00BA0227"/>
    <w:rsid w:val="00BC1BD6"/>
    <w:rsid w:val="00BC3555"/>
    <w:rsid w:val="00BD21F8"/>
    <w:rsid w:val="00BF0126"/>
    <w:rsid w:val="00C00EE3"/>
    <w:rsid w:val="00C12B51"/>
    <w:rsid w:val="00C14A1D"/>
    <w:rsid w:val="00C15FB6"/>
    <w:rsid w:val="00C17FE0"/>
    <w:rsid w:val="00C245F5"/>
    <w:rsid w:val="00C24650"/>
    <w:rsid w:val="00C25465"/>
    <w:rsid w:val="00C31806"/>
    <w:rsid w:val="00C33079"/>
    <w:rsid w:val="00C55A12"/>
    <w:rsid w:val="00C6146C"/>
    <w:rsid w:val="00C617E2"/>
    <w:rsid w:val="00C65220"/>
    <w:rsid w:val="00C6553E"/>
    <w:rsid w:val="00C727DD"/>
    <w:rsid w:val="00C75133"/>
    <w:rsid w:val="00C83A13"/>
    <w:rsid w:val="00C8656B"/>
    <w:rsid w:val="00C86F10"/>
    <w:rsid w:val="00C9068C"/>
    <w:rsid w:val="00C92967"/>
    <w:rsid w:val="00C95780"/>
    <w:rsid w:val="00C96FC4"/>
    <w:rsid w:val="00CA0172"/>
    <w:rsid w:val="00CA1842"/>
    <w:rsid w:val="00CA23A6"/>
    <w:rsid w:val="00CA3D0C"/>
    <w:rsid w:val="00CA654B"/>
    <w:rsid w:val="00CB72B8"/>
    <w:rsid w:val="00CC56A8"/>
    <w:rsid w:val="00CC5802"/>
    <w:rsid w:val="00CD0BA8"/>
    <w:rsid w:val="00CD0C29"/>
    <w:rsid w:val="00CD4C7B"/>
    <w:rsid w:val="00CD544F"/>
    <w:rsid w:val="00CD58FE"/>
    <w:rsid w:val="00CF6F1E"/>
    <w:rsid w:val="00CF70D1"/>
    <w:rsid w:val="00CF7D05"/>
    <w:rsid w:val="00D1655F"/>
    <w:rsid w:val="00D33BE3"/>
    <w:rsid w:val="00D34F7B"/>
    <w:rsid w:val="00D3792D"/>
    <w:rsid w:val="00D44CFD"/>
    <w:rsid w:val="00D54555"/>
    <w:rsid w:val="00D54820"/>
    <w:rsid w:val="00D55E47"/>
    <w:rsid w:val="00D560EB"/>
    <w:rsid w:val="00D62E19"/>
    <w:rsid w:val="00D637B1"/>
    <w:rsid w:val="00D67B65"/>
    <w:rsid w:val="00D67CD1"/>
    <w:rsid w:val="00D738D6"/>
    <w:rsid w:val="00D73A95"/>
    <w:rsid w:val="00D80795"/>
    <w:rsid w:val="00D82F60"/>
    <w:rsid w:val="00D838D9"/>
    <w:rsid w:val="00D854BE"/>
    <w:rsid w:val="00D87E00"/>
    <w:rsid w:val="00D9134D"/>
    <w:rsid w:val="00D954BB"/>
    <w:rsid w:val="00D96D11"/>
    <w:rsid w:val="00DA7A03"/>
    <w:rsid w:val="00DB0A85"/>
    <w:rsid w:val="00DB0DB8"/>
    <w:rsid w:val="00DB1818"/>
    <w:rsid w:val="00DB19DE"/>
    <w:rsid w:val="00DB2EB3"/>
    <w:rsid w:val="00DC0914"/>
    <w:rsid w:val="00DC309B"/>
    <w:rsid w:val="00DC3630"/>
    <w:rsid w:val="00DC4DA2"/>
    <w:rsid w:val="00DC5261"/>
    <w:rsid w:val="00DE23E3"/>
    <w:rsid w:val="00DE25D2"/>
    <w:rsid w:val="00DF7C20"/>
    <w:rsid w:val="00E038FB"/>
    <w:rsid w:val="00E3255C"/>
    <w:rsid w:val="00E46C08"/>
    <w:rsid w:val="00E471CF"/>
    <w:rsid w:val="00E60A22"/>
    <w:rsid w:val="00E62835"/>
    <w:rsid w:val="00E6480E"/>
    <w:rsid w:val="00E65FBE"/>
    <w:rsid w:val="00E77645"/>
    <w:rsid w:val="00E83697"/>
    <w:rsid w:val="00E841AE"/>
    <w:rsid w:val="00E859B6"/>
    <w:rsid w:val="00EA5D9C"/>
    <w:rsid w:val="00EA66C9"/>
    <w:rsid w:val="00EA7217"/>
    <w:rsid w:val="00EB5D32"/>
    <w:rsid w:val="00EC05BA"/>
    <w:rsid w:val="00EC24B3"/>
    <w:rsid w:val="00EC4A25"/>
    <w:rsid w:val="00EF612C"/>
    <w:rsid w:val="00F025A2"/>
    <w:rsid w:val="00F036E9"/>
    <w:rsid w:val="00F07388"/>
    <w:rsid w:val="00F14FF8"/>
    <w:rsid w:val="00F2026E"/>
    <w:rsid w:val="00F2210A"/>
    <w:rsid w:val="00F31372"/>
    <w:rsid w:val="00F345CC"/>
    <w:rsid w:val="00F37743"/>
    <w:rsid w:val="00F40C2F"/>
    <w:rsid w:val="00F42493"/>
    <w:rsid w:val="00F47C1E"/>
    <w:rsid w:val="00F54A3D"/>
    <w:rsid w:val="00F54CB0"/>
    <w:rsid w:val="00F579CD"/>
    <w:rsid w:val="00F6126B"/>
    <w:rsid w:val="00F653B8"/>
    <w:rsid w:val="00F6674A"/>
    <w:rsid w:val="00F70CFA"/>
    <w:rsid w:val="00F7120F"/>
    <w:rsid w:val="00F71B89"/>
    <w:rsid w:val="00F7353C"/>
    <w:rsid w:val="00F76F8F"/>
    <w:rsid w:val="00F8301C"/>
    <w:rsid w:val="00F83D88"/>
    <w:rsid w:val="00F845E3"/>
    <w:rsid w:val="00F87048"/>
    <w:rsid w:val="00F87257"/>
    <w:rsid w:val="00F941DF"/>
    <w:rsid w:val="00F945B2"/>
    <w:rsid w:val="00FA1266"/>
    <w:rsid w:val="00FB1857"/>
    <w:rsid w:val="00FB36FA"/>
    <w:rsid w:val="00FB7506"/>
    <w:rsid w:val="00FC1192"/>
    <w:rsid w:val="00FD2849"/>
    <w:rsid w:val="00FE106D"/>
    <w:rsid w:val="00FE251B"/>
    <w:rsid w:val="00FE3805"/>
    <w:rsid w:val="2799FF82"/>
    <w:rsid w:val="2AE9A98F"/>
    <w:rsid w:val="5D890CED"/>
    <w:rsid w:val="632CA1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295160A-5B1E-49D8-9E46-E5B4BDAE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3"/>
      </w:numPr>
      <w:contextualSpacing/>
    </w:pPr>
  </w:style>
  <w:style w:type="paragraph" w:styleId="ListBullet2">
    <w:name w:val="List Bullet 2"/>
    <w:basedOn w:val="Normal"/>
    <w:rsid w:val="003F76B6"/>
    <w:pPr>
      <w:numPr>
        <w:numId w:val="14"/>
      </w:numPr>
      <w:contextualSpacing/>
    </w:pPr>
  </w:style>
  <w:style w:type="paragraph" w:styleId="ListBullet3">
    <w:name w:val="List Bullet 3"/>
    <w:basedOn w:val="Normal"/>
    <w:rsid w:val="003F76B6"/>
    <w:pPr>
      <w:numPr>
        <w:numId w:val="15"/>
      </w:numPr>
      <w:contextualSpacing/>
    </w:pPr>
  </w:style>
  <w:style w:type="paragraph" w:styleId="ListBullet4">
    <w:name w:val="List Bullet 4"/>
    <w:basedOn w:val="Normal"/>
    <w:rsid w:val="003F76B6"/>
    <w:pPr>
      <w:numPr>
        <w:numId w:val="16"/>
      </w:numPr>
      <w:contextualSpacing/>
    </w:pPr>
  </w:style>
  <w:style w:type="paragraph" w:styleId="ListBullet5">
    <w:name w:val="List Bullet 5"/>
    <w:basedOn w:val="Normal"/>
    <w:rsid w:val="003F76B6"/>
    <w:pPr>
      <w:numPr>
        <w:numId w:val="17"/>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8"/>
      </w:numPr>
      <w:contextualSpacing/>
    </w:pPr>
  </w:style>
  <w:style w:type="paragraph" w:styleId="ListNumber2">
    <w:name w:val="List Number 2"/>
    <w:basedOn w:val="Normal"/>
    <w:rsid w:val="003F76B6"/>
    <w:pPr>
      <w:numPr>
        <w:numId w:val="19"/>
      </w:numPr>
      <w:contextualSpacing/>
    </w:pPr>
  </w:style>
  <w:style w:type="paragraph" w:styleId="ListNumber3">
    <w:name w:val="List Number 3"/>
    <w:basedOn w:val="Normal"/>
    <w:rsid w:val="003F76B6"/>
    <w:pPr>
      <w:numPr>
        <w:numId w:val="20"/>
      </w:numPr>
      <w:contextualSpacing/>
    </w:pPr>
  </w:style>
  <w:style w:type="paragraph" w:styleId="ListNumber4">
    <w:name w:val="List Number 4"/>
    <w:basedOn w:val="Normal"/>
    <w:rsid w:val="003F76B6"/>
    <w:pPr>
      <w:numPr>
        <w:numId w:val="21"/>
      </w:numPr>
      <w:contextualSpacing/>
    </w:pPr>
  </w:style>
  <w:style w:type="paragraph" w:styleId="ListNumber5">
    <w:name w:val="List Number 5"/>
    <w:basedOn w:val="Normal"/>
    <w:rsid w:val="003F76B6"/>
    <w:pPr>
      <w:numPr>
        <w:numId w:val="22"/>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73E7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73E7E"/>
    <w:pPr>
      <w:spacing w:before="100" w:beforeAutospacing="1" w:after="100" w:afterAutospacing="1"/>
    </w:pPr>
    <w:rPr>
      <w:rFonts w:eastAsia="宋体"/>
      <w:sz w:val="24"/>
      <w:szCs w:val="24"/>
      <w:lang w:val="en-US"/>
    </w:rPr>
  </w:style>
  <w:style w:type="character" w:customStyle="1" w:styleId="normaltextrun">
    <w:name w:val="normaltextrun"/>
    <w:basedOn w:val="DefaultParagraphFont"/>
    <w:rsid w:val="00673E7E"/>
  </w:style>
  <w:style w:type="character" w:customStyle="1" w:styleId="eop">
    <w:name w:val="eop"/>
    <w:basedOn w:val="DefaultParagraphFont"/>
    <w:rsid w:val="00673E7E"/>
  </w:style>
  <w:style w:type="character" w:customStyle="1" w:styleId="wacimagecontainer">
    <w:name w:val="wacimagecontainer"/>
    <w:basedOn w:val="DefaultParagraphFont"/>
    <w:rsid w:val="00673E7E"/>
  </w:style>
  <w:style w:type="character" w:customStyle="1" w:styleId="cf01">
    <w:name w:val="cf01"/>
    <w:basedOn w:val="DefaultParagraphFont"/>
    <w:rsid w:val="00673E7E"/>
    <w:rPr>
      <w:rFonts w:ascii="Segoe UI" w:hAnsi="Segoe UI" w:cs="Segoe UI" w:hint="default"/>
      <w:sz w:val="18"/>
      <w:szCs w:val="18"/>
    </w:rPr>
  </w:style>
  <w:style w:type="character" w:styleId="CommentReference">
    <w:name w:val="annotation reference"/>
    <w:basedOn w:val="DefaultParagraphFont"/>
    <w:rsid w:val="000E7BBF"/>
    <w:rPr>
      <w:sz w:val="16"/>
      <w:szCs w:val="16"/>
    </w:rPr>
  </w:style>
  <w:style w:type="paragraph" w:styleId="Revision">
    <w:name w:val="Revision"/>
    <w:hidden/>
    <w:uiPriority w:val="99"/>
    <w:semiHidden/>
    <w:rsid w:val="00BA0227"/>
    <w:rPr>
      <w:lang w:eastAsia="en-US"/>
    </w:rPr>
  </w:style>
  <w:style w:type="paragraph" w:customStyle="1" w:styleId="Agreement">
    <w:name w:val="Agreement"/>
    <w:basedOn w:val="Normal"/>
    <w:next w:val="Normal"/>
    <w:uiPriority w:val="99"/>
    <w:qFormat/>
    <w:rsid w:val="008035BE"/>
    <w:pPr>
      <w:numPr>
        <w:numId w:val="2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966105">
      <w:bodyDiv w:val="1"/>
      <w:marLeft w:val="0"/>
      <w:marRight w:val="0"/>
      <w:marTop w:val="0"/>
      <w:marBottom w:val="0"/>
      <w:divBdr>
        <w:top w:val="none" w:sz="0" w:space="0" w:color="auto"/>
        <w:left w:val="none" w:sz="0" w:space="0" w:color="auto"/>
        <w:bottom w:val="none" w:sz="0" w:space="0" w:color="auto"/>
        <w:right w:val="none" w:sz="0" w:space="0" w:color="auto"/>
      </w:divBdr>
      <w:divsChild>
        <w:div w:id="42799454">
          <w:marLeft w:val="0"/>
          <w:marRight w:val="0"/>
          <w:marTop w:val="0"/>
          <w:marBottom w:val="0"/>
          <w:divBdr>
            <w:top w:val="none" w:sz="0" w:space="0" w:color="auto"/>
            <w:left w:val="none" w:sz="0" w:space="0" w:color="auto"/>
            <w:bottom w:val="none" w:sz="0" w:space="0" w:color="auto"/>
            <w:right w:val="none" w:sz="0" w:space="0" w:color="auto"/>
          </w:divBdr>
        </w:div>
        <w:div w:id="299965774">
          <w:marLeft w:val="0"/>
          <w:marRight w:val="0"/>
          <w:marTop w:val="0"/>
          <w:marBottom w:val="0"/>
          <w:divBdr>
            <w:top w:val="none" w:sz="0" w:space="0" w:color="auto"/>
            <w:left w:val="none" w:sz="0" w:space="0" w:color="auto"/>
            <w:bottom w:val="none" w:sz="0" w:space="0" w:color="auto"/>
            <w:right w:val="none" w:sz="0" w:space="0" w:color="auto"/>
          </w:divBdr>
        </w:div>
        <w:div w:id="328991727">
          <w:marLeft w:val="0"/>
          <w:marRight w:val="0"/>
          <w:marTop w:val="0"/>
          <w:marBottom w:val="0"/>
          <w:divBdr>
            <w:top w:val="none" w:sz="0" w:space="0" w:color="auto"/>
            <w:left w:val="none" w:sz="0" w:space="0" w:color="auto"/>
            <w:bottom w:val="none" w:sz="0" w:space="0" w:color="auto"/>
            <w:right w:val="none" w:sz="0" w:space="0" w:color="auto"/>
          </w:divBdr>
        </w:div>
        <w:div w:id="404886612">
          <w:marLeft w:val="0"/>
          <w:marRight w:val="0"/>
          <w:marTop w:val="0"/>
          <w:marBottom w:val="0"/>
          <w:divBdr>
            <w:top w:val="none" w:sz="0" w:space="0" w:color="auto"/>
            <w:left w:val="none" w:sz="0" w:space="0" w:color="auto"/>
            <w:bottom w:val="none" w:sz="0" w:space="0" w:color="auto"/>
            <w:right w:val="none" w:sz="0" w:space="0" w:color="auto"/>
          </w:divBdr>
        </w:div>
        <w:div w:id="1000040651">
          <w:marLeft w:val="0"/>
          <w:marRight w:val="0"/>
          <w:marTop w:val="0"/>
          <w:marBottom w:val="0"/>
          <w:divBdr>
            <w:top w:val="none" w:sz="0" w:space="0" w:color="auto"/>
            <w:left w:val="none" w:sz="0" w:space="0" w:color="auto"/>
            <w:bottom w:val="none" w:sz="0" w:space="0" w:color="auto"/>
            <w:right w:val="none" w:sz="0" w:space="0" w:color="auto"/>
          </w:divBdr>
        </w:div>
        <w:div w:id="1026633832">
          <w:marLeft w:val="0"/>
          <w:marRight w:val="0"/>
          <w:marTop w:val="0"/>
          <w:marBottom w:val="0"/>
          <w:divBdr>
            <w:top w:val="none" w:sz="0" w:space="0" w:color="auto"/>
            <w:left w:val="none" w:sz="0" w:space="0" w:color="auto"/>
            <w:bottom w:val="none" w:sz="0" w:space="0" w:color="auto"/>
            <w:right w:val="none" w:sz="0" w:space="0" w:color="auto"/>
          </w:divBdr>
        </w:div>
        <w:div w:id="1260723179">
          <w:marLeft w:val="0"/>
          <w:marRight w:val="0"/>
          <w:marTop w:val="0"/>
          <w:marBottom w:val="0"/>
          <w:divBdr>
            <w:top w:val="none" w:sz="0" w:space="0" w:color="auto"/>
            <w:left w:val="none" w:sz="0" w:space="0" w:color="auto"/>
            <w:bottom w:val="none" w:sz="0" w:space="0" w:color="auto"/>
            <w:right w:val="none" w:sz="0" w:space="0" w:color="auto"/>
          </w:divBdr>
        </w:div>
        <w:div w:id="1599176187">
          <w:marLeft w:val="0"/>
          <w:marRight w:val="0"/>
          <w:marTop w:val="0"/>
          <w:marBottom w:val="0"/>
          <w:divBdr>
            <w:top w:val="none" w:sz="0" w:space="0" w:color="auto"/>
            <w:left w:val="none" w:sz="0" w:space="0" w:color="auto"/>
            <w:bottom w:val="none" w:sz="0" w:space="0" w:color="auto"/>
            <w:right w:val="none" w:sz="0" w:space="0" w:color="auto"/>
          </w:divBdr>
        </w:div>
        <w:div w:id="1610817829">
          <w:marLeft w:val="0"/>
          <w:marRight w:val="0"/>
          <w:marTop w:val="0"/>
          <w:marBottom w:val="0"/>
          <w:divBdr>
            <w:top w:val="none" w:sz="0" w:space="0" w:color="auto"/>
            <w:left w:val="none" w:sz="0" w:space="0" w:color="auto"/>
            <w:bottom w:val="none" w:sz="0" w:space="0" w:color="auto"/>
            <w:right w:val="none" w:sz="0" w:space="0" w:color="auto"/>
          </w:divBdr>
        </w:div>
        <w:div w:id="173854938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7995972">
      <w:bodyDiv w:val="1"/>
      <w:marLeft w:val="0"/>
      <w:marRight w:val="0"/>
      <w:marTop w:val="0"/>
      <w:marBottom w:val="0"/>
      <w:divBdr>
        <w:top w:val="none" w:sz="0" w:space="0" w:color="auto"/>
        <w:left w:val="none" w:sz="0" w:space="0" w:color="auto"/>
        <w:bottom w:val="none" w:sz="0" w:space="0" w:color="auto"/>
        <w:right w:val="none" w:sz="0" w:space="0" w:color="auto"/>
      </w:divBdr>
      <w:divsChild>
        <w:div w:id="48848555">
          <w:marLeft w:val="0"/>
          <w:marRight w:val="0"/>
          <w:marTop w:val="0"/>
          <w:marBottom w:val="0"/>
          <w:divBdr>
            <w:top w:val="none" w:sz="0" w:space="0" w:color="auto"/>
            <w:left w:val="none" w:sz="0" w:space="0" w:color="auto"/>
            <w:bottom w:val="none" w:sz="0" w:space="0" w:color="auto"/>
            <w:right w:val="none" w:sz="0" w:space="0" w:color="auto"/>
          </w:divBdr>
        </w:div>
        <w:div w:id="146754162">
          <w:marLeft w:val="0"/>
          <w:marRight w:val="0"/>
          <w:marTop w:val="0"/>
          <w:marBottom w:val="0"/>
          <w:divBdr>
            <w:top w:val="none" w:sz="0" w:space="0" w:color="auto"/>
            <w:left w:val="none" w:sz="0" w:space="0" w:color="auto"/>
            <w:bottom w:val="none" w:sz="0" w:space="0" w:color="auto"/>
            <w:right w:val="none" w:sz="0" w:space="0" w:color="auto"/>
          </w:divBdr>
        </w:div>
        <w:div w:id="886450487">
          <w:marLeft w:val="0"/>
          <w:marRight w:val="0"/>
          <w:marTop w:val="0"/>
          <w:marBottom w:val="0"/>
          <w:divBdr>
            <w:top w:val="none" w:sz="0" w:space="0" w:color="auto"/>
            <w:left w:val="none" w:sz="0" w:space="0" w:color="auto"/>
            <w:bottom w:val="none" w:sz="0" w:space="0" w:color="auto"/>
            <w:right w:val="none" w:sz="0" w:space="0" w:color="auto"/>
          </w:divBdr>
        </w:div>
        <w:div w:id="1099326336">
          <w:marLeft w:val="0"/>
          <w:marRight w:val="0"/>
          <w:marTop w:val="0"/>
          <w:marBottom w:val="0"/>
          <w:divBdr>
            <w:top w:val="none" w:sz="0" w:space="0" w:color="auto"/>
            <w:left w:val="none" w:sz="0" w:space="0" w:color="auto"/>
            <w:bottom w:val="none" w:sz="0" w:space="0" w:color="auto"/>
            <w:right w:val="none" w:sz="0" w:space="0" w:color="auto"/>
          </w:divBdr>
        </w:div>
        <w:div w:id="1104959236">
          <w:marLeft w:val="0"/>
          <w:marRight w:val="0"/>
          <w:marTop w:val="0"/>
          <w:marBottom w:val="0"/>
          <w:divBdr>
            <w:top w:val="none" w:sz="0" w:space="0" w:color="auto"/>
            <w:left w:val="none" w:sz="0" w:space="0" w:color="auto"/>
            <w:bottom w:val="none" w:sz="0" w:space="0" w:color="auto"/>
            <w:right w:val="none" w:sz="0" w:space="0" w:color="auto"/>
          </w:divBdr>
        </w:div>
        <w:div w:id="1294630594">
          <w:marLeft w:val="0"/>
          <w:marRight w:val="0"/>
          <w:marTop w:val="0"/>
          <w:marBottom w:val="0"/>
          <w:divBdr>
            <w:top w:val="none" w:sz="0" w:space="0" w:color="auto"/>
            <w:left w:val="none" w:sz="0" w:space="0" w:color="auto"/>
            <w:bottom w:val="none" w:sz="0" w:space="0" w:color="auto"/>
            <w:right w:val="none" w:sz="0" w:space="0" w:color="auto"/>
          </w:divBdr>
        </w:div>
        <w:div w:id="1659310825">
          <w:marLeft w:val="0"/>
          <w:marRight w:val="0"/>
          <w:marTop w:val="0"/>
          <w:marBottom w:val="0"/>
          <w:divBdr>
            <w:top w:val="none" w:sz="0" w:space="0" w:color="auto"/>
            <w:left w:val="none" w:sz="0" w:space="0" w:color="auto"/>
            <w:bottom w:val="none" w:sz="0" w:space="0" w:color="auto"/>
            <w:right w:val="none" w:sz="0" w:space="0" w:color="auto"/>
          </w:divBdr>
        </w:div>
        <w:div w:id="1791166054">
          <w:marLeft w:val="0"/>
          <w:marRight w:val="0"/>
          <w:marTop w:val="0"/>
          <w:marBottom w:val="0"/>
          <w:divBdr>
            <w:top w:val="none" w:sz="0" w:space="0" w:color="auto"/>
            <w:left w:val="none" w:sz="0" w:space="0" w:color="auto"/>
            <w:bottom w:val="none" w:sz="0" w:space="0" w:color="auto"/>
            <w:right w:val="none" w:sz="0" w:space="0" w:color="auto"/>
          </w:divBdr>
        </w:div>
        <w:div w:id="1972124721">
          <w:marLeft w:val="0"/>
          <w:marRight w:val="0"/>
          <w:marTop w:val="0"/>
          <w:marBottom w:val="0"/>
          <w:divBdr>
            <w:top w:val="none" w:sz="0" w:space="0" w:color="auto"/>
            <w:left w:val="none" w:sz="0" w:space="0" w:color="auto"/>
            <w:bottom w:val="none" w:sz="0" w:space="0" w:color="auto"/>
            <w:right w:val="none" w:sz="0" w:space="0" w:color="auto"/>
          </w:divBdr>
        </w:div>
        <w:div w:id="2041667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RBI5PAMIO524-1616901215-29992</_dlc_DocId>
    <_dlc_DocIdUrl xmlns="71c5aaf6-e6ce-465b-b873-5148d2a4c105">
      <Url>https://nokia.sharepoint.com/sites/gxp/_layouts/15/DocIdRedir.aspx?ID=RBI5PAMIO524-1616901215-29992</Url>
      <Description>RBI5PAMIO524-1616901215-29992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www.w3.org/XML/1998/namespace"/>
    <ds:schemaRef ds:uri="7275bb01-7583-478d-bc14-e839a2dd5989"/>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3f2ce089-3858-4176-9a21-a30f9204848e"/>
    <ds:schemaRef ds:uri="71c5aaf6-e6ce-465b-b873-5148d2a4c105"/>
    <ds:schemaRef ds:uri="http://purl.org/dc/elements/1.1/"/>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2024-10-04T04:45:00Z</dcterms:created>
  <dcterms:modified xsi:type="dcterms:W3CDTF">2024-10-04T04:45:00Z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333ea33f-224e-4c2e-a6b1-9c72b4631f9b</vt:lpwstr>
  </property>
</Properties>
</file>